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03" w:rsidRDefault="00D04603" w:rsidP="00D0460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04603" w:rsidRDefault="00D04603" w:rsidP="00D0460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 сельский Совет депутатов</w:t>
      </w:r>
    </w:p>
    <w:p w:rsidR="00D04603" w:rsidRDefault="00D04603" w:rsidP="00D0460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04603" w:rsidRDefault="00D04603" w:rsidP="00D04603">
      <w:pPr>
        <w:keepNext/>
        <w:ind w:firstLine="708"/>
        <w:jc w:val="center"/>
        <w:rPr>
          <w:b/>
          <w:sz w:val="28"/>
          <w:szCs w:val="28"/>
        </w:rPr>
      </w:pPr>
    </w:p>
    <w:p w:rsidR="00D04603" w:rsidRDefault="00D04603" w:rsidP="00D04603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D04603" w:rsidRDefault="00D04603" w:rsidP="00D04603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D04603" w:rsidRDefault="00D04603" w:rsidP="00D04603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00.00.2022    №  00                      ПРЕКТ                           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D04603" w:rsidRDefault="00D04603" w:rsidP="00D04603">
      <w:pPr>
        <w:keepNext/>
        <w:tabs>
          <w:tab w:val="left" w:pos="2540"/>
        </w:tabs>
        <w:rPr>
          <w:sz w:val="28"/>
          <w:szCs w:val="28"/>
        </w:rPr>
      </w:pPr>
    </w:p>
    <w:p w:rsidR="00D04603" w:rsidRDefault="00D04603" w:rsidP="00D04603">
      <w:pPr>
        <w:keepNext/>
        <w:ind w:right="513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2023 год и на плановый период 2024 и 2025 годов</w:t>
      </w:r>
    </w:p>
    <w:p w:rsidR="00D04603" w:rsidRDefault="00D04603" w:rsidP="00D04603">
      <w:pPr>
        <w:keepNext/>
        <w:ind w:right="5138"/>
        <w:jc w:val="both"/>
        <w:rPr>
          <w:sz w:val="28"/>
          <w:szCs w:val="28"/>
        </w:rPr>
      </w:pPr>
    </w:p>
    <w:p w:rsidR="00D04603" w:rsidRDefault="00D04603" w:rsidP="00D04603">
      <w:pPr>
        <w:keepNext/>
        <w:ind w:right="5138"/>
        <w:jc w:val="both"/>
        <w:rPr>
          <w:sz w:val="28"/>
          <w:szCs w:val="28"/>
        </w:rPr>
      </w:pPr>
    </w:p>
    <w:p w:rsidR="00D04603" w:rsidRDefault="00D04603" w:rsidP="00D04603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D04603" w:rsidRDefault="00D04603" w:rsidP="00D04603">
      <w:pPr>
        <w:keepNext/>
        <w:ind w:right="-35" w:firstLine="708"/>
        <w:jc w:val="both"/>
        <w:rPr>
          <w:sz w:val="28"/>
          <w:szCs w:val="28"/>
        </w:rPr>
      </w:pP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 по тексту бюджет поселения) на 2023 год и на плановый период 2024 и 2025 годов:</w:t>
      </w:r>
    </w:p>
    <w:p w:rsidR="00D04603" w:rsidRDefault="00D04603" w:rsidP="00D04603">
      <w:pPr>
        <w:ind w:firstLine="709"/>
        <w:rPr>
          <w:sz w:val="28"/>
          <w:szCs w:val="28"/>
        </w:rPr>
      </w:pPr>
    </w:p>
    <w:p w:rsidR="00D04603" w:rsidRDefault="00D04603" w:rsidP="00D04603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1. Основные характеристики бюджета поселения на </w:t>
      </w:r>
      <w:r>
        <w:rPr>
          <w:b/>
          <w:sz w:val="28"/>
          <w:szCs w:val="28"/>
        </w:rPr>
        <w:t>2023 год и на плановый период 2024 и 2025 годов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 на 2023 год: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поселения </w:t>
      </w:r>
      <w:r>
        <w:rPr>
          <w:sz w:val="28"/>
          <w:szCs w:val="28"/>
        </w:rPr>
        <w:br/>
        <w:t>в сумме 1155,0 тыс. рублей, в том числе объем межбюджетных трансфертов, получаемых из других бюджетов, в сумме 692,0 тыс. рублей;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1201,3 тыс. рублей;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долга по состоянию на 1 января 2024 года в сумме 0 тыс. рублей, в том числе верхний предел долга по муниципальным гарантиям в сумме 0 тыс. рублей;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46,3 тыс. рублей.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2. Утвердить основные характеристики бюджета поселения на 2024 год и на 2025 год:</w:t>
      </w:r>
    </w:p>
    <w:p w:rsidR="00D04603" w:rsidRDefault="00D04603" w:rsidP="00D04603">
      <w:pPr>
        <w:ind w:firstLine="800"/>
        <w:jc w:val="both"/>
      </w:pPr>
      <w:proofErr w:type="gramStart"/>
      <w:r>
        <w:rPr>
          <w:sz w:val="28"/>
          <w:szCs w:val="28"/>
        </w:rPr>
        <w:t>1) прогнозируемый общий объем доходов бюджета поселения на 2024 год в сумме 835,8 тыс.  рублей, в том числе объем межбюджетных трансфертов, получаемых из других бюджетов, в сумме 369,8 тыс. рублей и на 2025 год в сумме 841,8 тыс. рублей, в том числе объем межбюджетных трансфертов, получаемых из других бюджетов, в сумме 373,8 тыс. рублей;</w:t>
      </w:r>
      <w:proofErr w:type="gramEnd"/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 xml:space="preserve">2) общий объем расходов бюджета поселения на 2024 год в сумме 882,4 тыс. рублей, в том числе условно утвержденные расходы в сумме 22,1 тыс. </w:t>
      </w:r>
      <w:r>
        <w:rPr>
          <w:sz w:val="28"/>
          <w:szCs w:val="28"/>
        </w:rPr>
        <w:lastRenderedPageBreak/>
        <w:t>рублей и на 2025 год в сумме 888,6 тыс. рублей, в том числе условно утвержденные расходы в сумме 44,4 тыс. рублей;</w:t>
      </w:r>
    </w:p>
    <w:p w:rsidR="00D04603" w:rsidRDefault="00D04603" w:rsidP="00D04603">
      <w:pPr>
        <w:ind w:firstLine="800"/>
        <w:jc w:val="both"/>
      </w:pPr>
      <w:proofErr w:type="gramStart"/>
      <w:r>
        <w:rPr>
          <w:sz w:val="28"/>
          <w:szCs w:val="28"/>
        </w:rPr>
        <w:t>3) верхний предел муниципального  долга по состоянию на 1 января 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>
        <w:rPr>
          <w:sz w:val="28"/>
          <w:szCs w:val="28"/>
        </w:rPr>
        <w:t xml:space="preserve"> тыс. рублей.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4) дефицит бюджета поселения на 2024 год в сумме 46,6 тыс. рублей и на 2025 год в сумме 46,8 тыс. рублей.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</w:p>
    <w:p w:rsidR="00D04603" w:rsidRDefault="00D04603" w:rsidP="00D04603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>
        <w:rPr>
          <w:b/>
          <w:sz w:val="28"/>
          <w:szCs w:val="28"/>
        </w:rPr>
        <w:t>2023 год и на плановый период 2024 и 2025 годов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2023 год согласно приложению 3 к настоящему Решению;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2024 и 2025 годы согласно приложению 4 к настоящему Решению;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поселения на 2023 год согласно приложению 5 к настоящему Решению;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поселения на плановый период 2024 и 2025 годов согласно приложению 6 к настоящему Решению;</w:t>
      </w:r>
    </w:p>
    <w:p w:rsidR="00D04603" w:rsidRDefault="00D04603" w:rsidP="00D04603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2024 и 2025 годы согласно приложению 8 к настоящему Решению.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2023 год в сумме 1,0 тыс. рублей, на 2024 год в сумме 1,0 тыс. рублей, на 2025 год в сумме 1,0 тыс. рублей.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</w:p>
    <w:p w:rsidR="00D04603" w:rsidRDefault="00D04603" w:rsidP="00D04603">
      <w:pPr>
        <w:ind w:firstLine="800"/>
        <w:jc w:val="both"/>
        <w:rPr>
          <w:sz w:val="28"/>
          <w:szCs w:val="28"/>
        </w:rPr>
      </w:pPr>
    </w:p>
    <w:p w:rsidR="00D04603" w:rsidRDefault="00D04603" w:rsidP="00D04603">
      <w:pPr>
        <w:ind w:firstLine="800"/>
        <w:jc w:val="both"/>
        <w:rPr>
          <w:sz w:val="28"/>
          <w:szCs w:val="28"/>
        </w:rPr>
      </w:pPr>
    </w:p>
    <w:p w:rsidR="00D04603" w:rsidRDefault="00D04603" w:rsidP="00D04603">
      <w:pPr>
        <w:ind w:firstLine="8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Межбюджетные трансферты</w:t>
      </w:r>
    </w:p>
    <w:p w:rsidR="00D04603" w:rsidRDefault="00D04603" w:rsidP="00D04603">
      <w:pPr>
        <w:ind w:firstLine="800"/>
        <w:jc w:val="both"/>
        <w:rPr>
          <w:b/>
          <w:bCs/>
          <w:sz w:val="28"/>
          <w:szCs w:val="28"/>
        </w:rPr>
      </w:pP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межбюджетных трансфертов, подлежащих перечислению в 2023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межбюджетных трансфертов, подлежащих перечислению в 2024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межбюджетных трансфертов, подлежащих перечислению в 2025 году в бюджет из бюджета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3,0 тыс. рублей;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2,4 тыс. рублей;</w:t>
      </w:r>
    </w:p>
    <w:p w:rsidR="00D04603" w:rsidRDefault="00D04603" w:rsidP="00D04603">
      <w:pPr>
        <w:ind w:firstLine="800"/>
        <w:rPr>
          <w:b/>
          <w:bCs/>
          <w:sz w:val="28"/>
          <w:szCs w:val="28"/>
        </w:rPr>
      </w:pPr>
    </w:p>
    <w:p w:rsidR="00D04603" w:rsidRDefault="00D04603" w:rsidP="00D04603">
      <w:pPr>
        <w:ind w:firstLine="800"/>
      </w:pPr>
      <w:r>
        <w:rPr>
          <w:b/>
          <w:bCs/>
          <w:sz w:val="28"/>
          <w:szCs w:val="28"/>
        </w:rPr>
        <w:t>Статья 4. Особенности исполнения бюджета поселения</w:t>
      </w:r>
    </w:p>
    <w:p w:rsidR="00D04603" w:rsidRDefault="00D04603" w:rsidP="00D04603">
      <w:pPr>
        <w:ind w:firstLine="800"/>
      </w:pP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заключение и оплата ранее заключенных получателями средств бюджета сельского поселения контрактов, исполнение </w:t>
      </w:r>
      <w:r>
        <w:rPr>
          <w:sz w:val="28"/>
          <w:szCs w:val="28"/>
        </w:rPr>
        <w:lastRenderedPageBreak/>
        <w:t>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04603" w:rsidRDefault="00D04603" w:rsidP="00D0460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D04603" w:rsidRDefault="00D04603" w:rsidP="00D04603">
      <w:pPr>
        <w:ind w:firstLine="800"/>
        <w:rPr>
          <w:color w:val="FF0000"/>
        </w:rPr>
      </w:pPr>
    </w:p>
    <w:p w:rsidR="00D04603" w:rsidRDefault="00D04603" w:rsidP="00D046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Приведение решений и иных нормативных правовых актов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D04603" w:rsidRDefault="00D04603" w:rsidP="00D04603">
      <w:pPr>
        <w:ind w:firstLine="709"/>
        <w:jc w:val="both"/>
        <w:rPr>
          <w:b/>
          <w:sz w:val="28"/>
          <w:szCs w:val="28"/>
        </w:rPr>
      </w:pPr>
    </w:p>
    <w:p w:rsidR="00D04603" w:rsidRDefault="00D04603" w:rsidP="00D04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04603" w:rsidRDefault="00D04603" w:rsidP="00D04603">
      <w:pPr>
        <w:ind w:firstLine="708"/>
        <w:jc w:val="both"/>
        <w:rPr>
          <w:b/>
          <w:sz w:val="28"/>
          <w:szCs w:val="28"/>
        </w:rPr>
      </w:pPr>
    </w:p>
    <w:p w:rsidR="00D04603" w:rsidRDefault="00D04603" w:rsidP="00D046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6. Вступление в силу настоящего Решения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</w:p>
    <w:p w:rsidR="00D04603" w:rsidRDefault="00D04603" w:rsidP="00D0460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2023 года.</w:t>
      </w:r>
    </w:p>
    <w:p w:rsidR="00D04603" w:rsidRDefault="00D04603" w:rsidP="00D0460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постоянную комиссию по экономике и бюджету с исполнением контрольных функций сельского Совета депутатов (Мальцев В.С.).</w:t>
      </w:r>
    </w:p>
    <w:p w:rsidR="00D04603" w:rsidRDefault="00D04603" w:rsidP="00D04603">
      <w:pPr>
        <w:keepNext/>
        <w:suppressAutoHyphens/>
        <w:jc w:val="both"/>
        <w:rPr>
          <w:sz w:val="28"/>
          <w:szCs w:val="28"/>
        </w:rPr>
      </w:pPr>
    </w:p>
    <w:p w:rsidR="00D04603" w:rsidRDefault="00D04603" w:rsidP="00D04603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D04603" w:rsidRDefault="00D04603" w:rsidP="00D04603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_____________                                 Н.И. Морозова</w:t>
      </w:r>
    </w:p>
    <w:p w:rsidR="00D04603" w:rsidRDefault="00D04603" w:rsidP="00D04603">
      <w:pPr>
        <w:jc w:val="both"/>
        <w:rPr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1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2023 год</w:t>
      </w:r>
    </w:p>
    <w:p w:rsidR="00D04603" w:rsidRDefault="00D04603" w:rsidP="00D04603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D04603" w:rsidTr="00D0460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4603" w:rsidRDefault="00D0460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D04603" w:rsidRDefault="00D04603">
            <w:pPr>
              <w:jc w:val="center"/>
            </w:pPr>
            <w:r>
              <w:t>тыс. рублей</w:t>
            </w:r>
          </w:p>
        </w:tc>
      </w:tr>
      <w:tr w:rsidR="00D04603" w:rsidTr="00D046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</w:tbl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pStyle w:val="a8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плановый период 2024 и 2025 годов</w:t>
      </w:r>
    </w:p>
    <w:p w:rsidR="00D04603" w:rsidRDefault="00D04603" w:rsidP="00D04603">
      <w:pPr>
        <w:jc w:val="center"/>
        <w:rPr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4018"/>
        <w:gridCol w:w="11"/>
        <w:gridCol w:w="1219"/>
        <w:gridCol w:w="1276"/>
      </w:tblGrid>
      <w:tr w:rsidR="00D04603" w:rsidTr="00D04603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4603" w:rsidRDefault="00D04603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</w:pPr>
            <w:r>
              <w:rPr>
                <w:sz w:val="24"/>
                <w:szCs w:val="24"/>
              </w:rPr>
              <w:t>Сумма на 2025 год, тыс. рублей</w:t>
            </w:r>
          </w:p>
        </w:tc>
      </w:tr>
      <w:tr w:rsidR="00D04603" w:rsidTr="00D0460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</w:tbl>
    <w:p w:rsidR="00D04603" w:rsidRDefault="00D04603" w:rsidP="00D04603">
      <w:pPr>
        <w:rPr>
          <w:highlight w:val="yellow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D04603" w:rsidRDefault="00D04603" w:rsidP="00D04603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D04603" w:rsidRDefault="00D04603" w:rsidP="00D04603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3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hyperlink r:id="rId4" w:history="1">
        <w:r>
          <w:rPr>
            <w:rStyle w:val="afe"/>
            <w:b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2023 год</w:t>
      </w:r>
    </w:p>
    <w:p w:rsidR="00D04603" w:rsidRDefault="00D04603" w:rsidP="00D0460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3"/>
      </w:tblGrid>
      <w:tr w:rsidR="00D04603" w:rsidTr="00D0460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4603" w:rsidTr="00D0460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1107,6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267,5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D04603" w:rsidTr="00D0460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4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afe"/>
            <w:b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2024 и 2025 годов</w:t>
      </w:r>
    </w:p>
    <w:p w:rsidR="00D04603" w:rsidRDefault="00D04603" w:rsidP="00D0460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1139"/>
        <w:gridCol w:w="1139"/>
        <w:gridCol w:w="1315"/>
        <w:gridCol w:w="1315"/>
      </w:tblGrid>
      <w:tr w:rsidR="00D04603" w:rsidTr="00D04603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</w:pPr>
            <w:r>
              <w:rPr>
                <w:sz w:val="24"/>
                <w:szCs w:val="24"/>
              </w:rPr>
              <w:t>Сумма на 2025 год, тыс. рублей</w:t>
            </w:r>
          </w:p>
        </w:tc>
      </w:tr>
      <w:tr w:rsidR="00D04603" w:rsidTr="00D04603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805,7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jc w:val="both"/>
        <w:rPr>
          <w:caps/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5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00.00.2022 № 00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6" w:history="1">
        <w:r>
          <w:rPr>
            <w:rStyle w:val="afe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D04603" w:rsidTr="00D04603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4603" w:rsidTr="00D04603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1107,6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D04603" w:rsidRDefault="00D04603" w:rsidP="00D046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31,5</w:t>
            </w:r>
          </w:p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6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сельского Совета депутатов от 00.00.2022 № 00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7" w:history="1">
        <w:r>
          <w:rPr>
            <w:rStyle w:val="afe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плановый период 2024 и 2025 годов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37"/>
        <w:gridCol w:w="21"/>
        <w:gridCol w:w="597"/>
        <w:gridCol w:w="16"/>
        <w:gridCol w:w="540"/>
        <w:gridCol w:w="550"/>
        <w:gridCol w:w="1114"/>
        <w:gridCol w:w="720"/>
        <w:gridCol w:w="30"/>
        <w:gridCol w:w="933"/>
        <w:gridCol w:w="933"/>
      </w:tblGrid>
      <w:tr w:rsidR="00D04603" w:rsidTr="00D04603">
        <w:trPr>
          <w:trHeight w:val="255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4603" w:rsidTr="00D04603">
        <w:trPr>
          <w:trHeight w:val="255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D04603" w:rsidTr="00D04603">
        <w:trPr>
          <w:trHeight w:val="270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805,7</w:t>
            </w:r>
          </w:p>
        </w:tc>
      </w:tr>
      <w:tr w:rsidR="00D04603" w:rsidTr="00D04603">
        <w:trPr>
          <w:trHeight w:val="1098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rPr>
          <w:trHeight w:val="827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rPr>
          <w:trHeight w:val="556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rPr>
          <w:trHeight w:val="541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rPr>
          <w:trHeight w:val="1940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rPr>
          <w:trHeight w:val="1369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rPr>
          <w:trHeight w:val="827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rPr>
          <w:trHeight w:val="541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188,8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widowControl w:val="0"/>
              <w:ind w:righ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171,0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D04603" w:rsidRDefault="00D04603" w:rsidP="00D04603">
      <w:pPr>
        <w:jc w:val="center"/>
        <w:rPr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7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D04603" w:rsidRDefault="00D04603" w:rsidP="00D04603">
      <w:pPr>
        <w:jc w:val="center"/>
        <w:rPr>
          <w:b/>
        </w:rPr>
      </w:pPr>
      <w:r>
        <w:rPr>
          <w:b/>
          <w:sz w:val="28"/>
          <w:szCs w:val="28"/>
        </w:rPr>
        <w:t>на 2023 год</w:t>
      </w:r>
    </w:p>
    <w:p w:rsidR="00D04603" w:rsidRDefault="00D04603" w:rsidP="00D04603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D04603" w:rsidTr="00D04603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4603" w:rsidTr="00D04603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1107,6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374,6</w:t>
            </w:r>
          </w:p>
        </w:tc>
      </w:tr>
    </w:tbl>
    <w:p w:rsidR="00D04603" w:rsidRDefault="00D04603" w:rsidP="00D04603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"/>
        <w:gridCol w:w="583"/>
        <w:gridCol w:w="2190"/>
        <w:gridCol w:w="768"/>
        <w:gridCol w:w="1242"/>
      </w:tblGrid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374,6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343,1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291,5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Дорожное хозяйство (дорожные </w:t>
            </w:r>
            <w:r>
              <w:rPr>
                <w:b/>
                <w:bCs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r>
              <w:rPr>
                <w:sz w:val="24"/>
                <w:szCs w:val="24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D04603" w:rsidRDefault="00D04603" w:rsidP="00D04603">
      <w:pPr>
        <w:jc w:val="center"/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sz w:val="28"/>
          <w:szCs w:val="28"/>
        </w:rPr>
      </w:pPr>
    </w:p>
    <w:p w:rsidR="00D04603" w:rsidRDefault="00D04603" w:rsidP="00D04603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8</w:t>
      </w:r>
    </w:p>
    <w:p w:rsidR="00D04603" w:rsidRDefault="00D04603" w:rsidP="00D0460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решением сельского Совета депутатов от 00.00.2022 № 00</w:t>
      </w:r>
    </w:p>
    <w:p w:rsidR="00D04603" w:rsidRDefault="00D04603" w:rsidP="00D04603">
      <w:pPr>
        <w:jc w:val="both"/>
        <w:rPr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D04603" w:rsidRDefault="00D04603" w:rsidP="00D046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8"/>
        <w:gridCol w:w="554"/>
        <w:gridCol w:w="587"/>
        <w:gridCol w:w="1244"/>
        <w:gridCol w:w="8"/>
        <w:gridCol w:w="719"/>
        <w:gridCol w:w="26"/>
        <w:gridCol w:w="952"/>
        <w:gridCol w:w="1125"/>
      </w:tblGrid>
      <w:tr w:rsidR="00D04603" w:rsidTr="00D04603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4603" w:rsidTr="00D04603">
        <w:trPr>
          <w:trHeight w:val="25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805,7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361,3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D04603" w:rsidRDefault="00D04603" w:rsidP="00D04603"/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8"/>
        <w:gridCol w:w="19"/>
        <w:gridCol w:w="542"/>
        <w:gridCol w:w="19"/>
        <w:gridCol w:w="12"/>
        <w:gridCol w:w="544"/>
        <w:gridCol w:w="17"/>
        <w:gridCol w:w="1255"/>
        <w:gridCol w:w="704"/>
        <w:gridCol w:w="46"/>
        <w:gridCol w:w="950"/>
        <w:gridCol w:w="875"/>
      </w:tblGrid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188,8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ind w:righ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603" w:rsidRDefault="00D0460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91 2 00 67270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04603" w:rsidTr="00D04603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</w:t>
            </w:r>
          </w:p>
        </w:tc>
      </w:tr>
    </w:tbl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решению  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сельского Совета депутатов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 на 2023 год 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 годов»</w:t>
      </w:r>
    </w:p>
    <w:p w:rsidR="00D04603" w:rsidRDefault="00D04603" w:rsidP="00D04603">
      <w:pPr>
        <w:ind w:firstLine="709"/>
        <w:jc w:val="center"/>
        <w:rPr>
          <w:b/>
          <w:sz w:val="28"/>
          <w:szCs w:val="28"/>
        </w:rPr>
      </w:pP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«О бюджете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2023 год и на плановый период 2024 и 2025 годов»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поселения) подготовлен в соответствии с требованиями Бюджетного кодекса Российской Федерации и решением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от 29.12.2021 № 30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2023 год и на плановый период 2024 и 2025 годов, основных направлениях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 </w:t>
      </w:r>
    </w:p>
    <w:p w:rsidR="00D04603" w:rsidRDefault="00D04603" w:rsidP="00D04603">
      <w:pPr>
        <w:ind w:firstLine="709"/>
        <w:jc w:val="center"/>
        <w:rPr>
          <w:b/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бюджета сельского поселения </w:t>
      </w:r>
      <w:r>
        <w:rPr>
          <w:bCs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2022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D04603" w:rsidRDefault="00D04603" w:rsidP="00D04603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бюджета сельсовета </w:t>
      </w:r>
      <w:r>
        <w:rPr>
          <w:bCs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собственных доходов бюджета поселения составит на 2023 год – 463,0 тыс. рублей; на 2024 год – 466,0 тыс. рублей; на 2025 год - 468 тыс. рублей. </w:t>
      </w:r>
      <w:proofErr w:type="gramStart"/>
      <w:r>
        <w:rPr>
          <w:sz w:val="28"/>
          <w:szCs w:val="28"/>
        </w:rPr>
        <w:t xml:space="preserve">В структуре собственных доходов бюджета сельсовета прогнозируется поступление: налоговых доходов в 2023 году в сумме 446,0 тыс. рублей или </w:t>
      </w:r>
      <w:r>
        <w:rPr>
          <w:sz w:val="28"/>
          <w:szCs w:val="28"/>
        </w:rPr>
        <w:lastRenderedPageBreak/>
        <w:t>96,3 процента, неналоговых доходов - в сумме 17,0 тыс. рублей или 3,7 процента; в 2024 году налоговых доходов в сумме 448,0 тыс. рублей или 96,1 процента, неналоговых доходов  - в сумме 18,0 тыс. рублей или 3,9 процента;</w:t>
      </w:r>
      <w:proofErr w:type="gramEnd"/>
      <w:r>
        <w:rPr>
          <w:sz w:val="28"/>
          <w:szCs w:val="28"/>
        </w:rPr>
        <w:t xml:space="preserve"> в 2025 году налоговых доходов в сумме 450,0 тыс. рублей или 96,2 процента, неналоговых доходов  - в сумме 18,0 тыс. рублей или 3,8 процента.</w:t>
      </w:r>
    </w:p>
    <w:p w:rsidR="00D04603" w:rsidRDefault="00D04603" w:rsidP="00D0460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единый сельскохозяйственный налог, земельный налог, налог на имущество физических лиц, неналоговые доходы - доходы, получаемые в виде арендной платы, находящиеся в собственности поселений.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D04603" w:rsidRDefault="00D04603" w:rsidP="00D046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поступления налога на доходы физических лиц на 2023 год произведен в соответствии с положениями главы 23 части 2 Налогового кодекса РФ. </w:t>
      </w:r>
    </w:p>
    <w:p w:rsidR="00D04603" w:rsidRDefault="00D04603" w:rsidP="00D046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2022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D04603" w:rsidRDefault="00D04603" w:rsidP="00D046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2023 году в размере 5,0 тыс. рублей, ч</w:t>
      </w:r>
      <w:r>
        <w:rPr>
          <w:color w:val="000000"/>
          <w:sz w:val="28"/>
          <w:szCs w:val="28"/>
        </w:rPr>
        <w:t>то составляет 167,0 процентов к уточненным плановым показателям на 2022 год. Прогноз поступлений на 2024-2025 года составляет 5,0 тыс. рублей и 5,0 тыс. рублей соответственно.</w:t>
      </w:r>
    </w:p>
    <w:p w:rsidR="00D04603" w:rsidRDefault="00D04603" w:rsidP="00D04603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D04603" w:rsidRDefault="00D04603" w:rsidP="00D04603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2023 год в сумме 10,0 тыс. рублей, на 2024 год в сумме 11,0 тыс. рублей, на 2025 год 11,0 тыс. рублей.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</w:p>
    <w:p w:rsidR="00D04603" w:rsidRDefault="00D04603" w:rsidP="00D0460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D04603" w:rsidRDefault="00D04603" w:rsidP="00D04603">
      <w:pPr>
        <w:ind w:firstLine="600"/>
        <w:jc w:val="both"/>
        <w:rPr>
          <w:color w:val="000000"/>
          <w:szCs w:val="28"/>
        </w:rPr>
      </w:pPr>
      <w:r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2023 году в сумме 31,0 тыс. рублей, ч</w:t>
      </w:r>
      <w:r>
        <w:rPr>
          <w:color w:val="000000"/>
          <w:sz w:val="28"/>
          <w:szCs w:val="28"/>
        </w:rPr>
        <w:t>то составляет 94,0 процентов к уточненным плановым показателям на 2022 год. Прогноз поступлений на 2024-2025 года составляет 31,0 тыс. рублей и 31,0 тыс. рублей соответственно.</w:t>
      </w:r>
      <w:r>
        <w:rPr>
          <w:color w:val="000000"/>
          <w:szCs w:val="28"/>
        </w:rPr>
        <w:t xml:space="preserve"> </w:t>
      </w:r>
    </w:p>
    <w:p w:rsidR="00D04603" w:rsidRDefault="00D04603" w:rsidP="00D04603">
      <w:pPr>
        <w:ind w:firstLine="600"/>
        <w:jc w:val="both"/>
        <w:rPr>
          <w:color w:val="000000"/>
          <w:szCs w:val="28"/>
        </w:rPr>
      </w:pPr>
    </w:p>
    <w:p w:rsidR="00D04603" w:rsidRDefault="00D04603" w:rsidP="00D04603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D04603" w:rsidRDefault="00D04603" w:rsidP="00D04603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2023 год в сумме 400,0 тыс. рублей, </w:t>
      </w:r>
      <w:r>
        <w:rPr>
          <w:sz w:val="28"/>
          <w:szCs w:val="28"/>
        </w:rPr>
        <w:lastRenderedPageBreak/>
        <w:t xml:space="preserve">в том числе </w:t>
      </w:r>
      <w:r>
        <w:rPr>
          <w:bCs/>
          <w:sz w:val="28"/>
          <w:szCs w:val="28"/>
        </w:rPr>
        <w:t>земельный налог, взимаемый с организаций -105,0 тыс. рублей, земельный налог, взимаемый с физических лиц – 295,0 тыс. рублей; на 2024 год- 401,0 тыс. рублей;</w:t>
      </w:r>
      <w:proofErr w:type="gramEnd"/>
      <w:r>
        <w:rPr>
          <w:bCs/>
          <w:sz w:val="28"/>
          <w:szCs w:val="28"/>
        </w:rPr>
        <w:t xml:space="preserve"> на 2025 год – 403,0 тыс. рублей.</w:t>
      </w:r>
    </w:p>
    <w:p w:rsidR="00D04603" w:rsidRDefault="00D04603" w:rsidP="00D04603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04603" w:rsidRDefault="00D04603" w:rsidP="00D04603">
      <w:pPr>
        <w:ind w:firstLine="709"/>
        <w:jc w:val="center"/>
        <w:rPr>
          <w:b/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доходов бюджета </w:t>
      </w:r>
      <w:r>
        <w:rPr>
          <w:bCs/>
          <w:sz w:val="28"/>
          <w:szCs w:val="28"/>
        </w:rPr>
        <w:t xml:space="preserve">на 2023 год </w:t>
      </w:r>
      <w:r>
        <w:rPr>
          <w:sz w:val="28"/>
          <w:szCs w:val="28"/>
        </w:rPr>
        <w:t>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на плановый период 2024 и 2025 годов</w:t>
      </w:r>
      <w:r>
        <w:rPr>
          <w:sz w:val="28"/>
          <w:szCs w:val="28"/>
        </w:rPr>
        <w:t xml:space="preserve"> 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18,0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поступление доходов, получаемые в виде арендной платы, находящиеся в собственности поселений.</w:t>
      </w:r>
    </w:p>
    <w:p w:rsidR="00D04603" w:rsidRDefault="00D04603" w:rsidP="00D04603">
      <w:pPr>
        <w:rPr>
          <w:b/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из районного бюджета</w:t>
      </w:r>
    </w:p>
    <w:p w:rsidR="00D04603" w:rsidRDefault="00D04603" w:rsidP="00D046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Поступления из районного бюджета в 2023 году планируются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692,0 тыс. рублей, </w:t>
      </w:r>
      <w:r>
        <w:rPr>
          <w:color w:val="000000"/>
          <w:sz w:val="28"/>
          <w:szCs w:val="28"/>
        </w:rPr>
        <w:t xml:space="preserve">что составляет 112,4 процента к уточненным плановым показателям на 2022 год.  </w:t>
      </w:r>
      <w:proofErr w:type="gramStart"/>
      <w:r>
        <w:rPr>
          <w:sz w:val="28"/>
          <w:szCs w:val="28"/>
        </w:rPr>
        <w:t xml:space="preserve">Поступления составят: дотации бюджетам поселений на выравнивание бюджетной обеспеченности в сумме 21,6 тыс. рублей, </w:t>
      </w:r>
      <w:r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</w:t>
      </w:r>
      <w:r>
        <w:rPr>
          <w:snapToGrid w:val="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 xml:space="preserve"> на решение вопросов местного значения </w:t>
      </w:r>
      <w:r>
        <w:rPr>
          <w:sz w:val="28"/>
          <w:szCs w:val="28"/>
        </w:rPr>
        <w:t>591,0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79,4 тыс. рублей.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Прогноз поступлений на 2024-2025 года составляет 369,8 тыс. рублей и 373,8 тыс. рублей соответственно.</w:t>
      </w:r>
    </w:p>
    <w:p w:rsidR="00D04603" w:rsidRDefault="00D04603" w:rsidP="00D04603">
      <w:pPr>
        <w:ind w:firstLine="709"/>
        <w:jc w:val="center"/>
        <w:rPr>
          <w:b/>
          <w:sz w:val="28"/>
          <w:szCs w:val="28"/>
        </w:rPr>
      </w:pP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04603" w:rsidRDefault="00D04603" w:rsidP="00D0460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Дефицит бюджета сельсовета на 2023 год определен в размере 46,3 тыс. рублей, на 2024 год 46,6 тыс. рублей, на 2025 год 46,8 тыс. рублей. Дефицит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составил 10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D04603" w:rsidTr="00D04603">
        <w:trPr>
          <w:trHeight w:val="349"/>
        </w:trPr>
        <w:tc>
          <w:tcPr>
            <w:tcW w:w="9639" w:type="dxa"/>
            <w:noWrap/>
            <w:vAlign w:val="bottom"/>
            <w:hideMark/>
          </w:tcPr>
          <w:p w:rsidR="00D04603" w:rsidRDefault="00D04603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04603" w:rsidTr="00D04603">
        <w:trPr>
          <w:trHeight w:val="709"/>
        </w:trPr>
        <w:tc>
          <w:tcPr>
            <w:tcW w:w="9639" w:type="dxa"/>
            <w:noWrap/>
            <w:vAlign w:val="bottom"/>
            <w:hideMark/>
          </w:tcPr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>
              <w:rPr>
                <w:sz w:val="28"/>
                <w:szCs w:val="28"/>
              </w:rPr>
              <w:t>законодательства</w:t>
            </w:r>
            <w:proofErr w:type="gramEnd"/>
            <w:r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2023 год обеспечивает исполнение принятых первоочередных расходных обязательств бюджета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Запланированы расходы: на заработную плату и начисления на выплаты по оплате труда; 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</w:t>
            </w:r>
            <w:r>
              <w:rPr>
                <w:sz w:val="28"/>
                <w:szCs w:val="28"/>
              </w:rPr>
              <w:lastRenderedPageBreak/>
              <w:t>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по расходам поселения бюджета на 2023 год определен в сумме 1201,3 тыс. рублей, на 2024-2025 год в сумме 882,4 тыс. рублей и 888,6 тыс. рублей соответственно. Планируемые расходы 2023 года к уточненному плану 2022 года составляют 107,2 процента.</w:t>
            </w:r>
          </w:p>
        </w:tc>
      </w:tr>
      <w:tr w:rsidR="00D04603" w:rsidTr="00D04603">
        <w:trPr>
          <w:trHeight w:val="960"/>
        </w:trPr>
        <w:tc>
          <w:tcPr>
            <w:tcW w:w="9639" w:type="dxa"/>
            <w:vAlign w:val="center"/>
            <w:hideMark/>
          </w:tcPr>
          <w:p w:rsidR="00D04603" w:rsidRDefault="00D04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«Общегосударственные расходы»</w:t>
            </w:r>
          </w:p>
        </w:tc>
      </w:tr>
      <w:tr w:rsidR="00D04603" w:rsidTr="00D04603">
        <w:trPr>
          <w:trHeight w:val="1699"/>
        </w:trPr>
        <w:tc>
          <w:tcPr>
            <w:tcW w:w="9639" w:type="dxa"/>
            <w:vAlign w:val="center"/>
          </w:tcPr>
          <w:p w:rsidR="00D04603" w:rsidRDefault="00D046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 органов местного самоуправления прогнозируется на 2023 год в сумме 840,1 тыс. рублей.</w:t>
            </w:r>
            <w:r>
              <w:rPr>
                <w:color w:val="000000"/>
                <w:sz w:val="28"/>
                <w:szCs w:val="28"/>
              </w:rPr>
              <w:t xml:space="preserve"> На 2024-2025 года 634,7 тыс. рублей и 634,7 тыс. рублей соответственно.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«Другие общегосударственные вопросы» отражены расходы на 2023 год в сумме 264,5 тыс. рублей, на 2024 год -161,8 тыс. рублей, на 2025 год – 168,0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содержание хозяйственной группы и на другие общегосударственные вопросы.</w:t>
            </w:r>
          </w:p>
          <w:p w:rsidR="00D04603" w:rsidRDefault="00D0460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3 тыс. рублей.</w:t>
            </w:r>
          </w:p>
          <w:p w:rsidR="00D04603" w:rsidRDefault="00D0460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04603" w:rsidRDefault="00D0460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данному разделу предусмотрено предупреждение и ликвидация чрезвычайных </w:t>
            </w:r>
            <w:proofErr w:type="gramStart"/>
            <w:r>
              <w:rPr>
                <w:sz w:val="28"/>
                <w:szCs w:val="28"/>
              </w:rPr>
              <w:t>ситуаций</w:t>
            </w:r>
            <w:proofErr w:type="gramEnd"/>
            <w:r>
              <w:rPr>
                <w:sz w:val="28"/>
                <w:szCs w:val="28"/>
              </w:rPr>
              <w:t xml:space="preserve"> связанные с противопожарными мероприятиями на 2023 год в сумме 10,9 тыс. рублей на 2024-2025 года в сумме 1,0 тыс. рублей соответственно.</w:t>
            </w:r>
          </w:p>
        </w:tc>
      </w:tr>
      <w:tr w:rsidR="00D04603" w:rsidTr="00D04603">
        <w:trPr>
          <w:trHeight w:val="930"/>
        </w:trPr>
        <w:tc>
          <w:tcPr>
            <w:tcW w:w="9639" w:type="dxa"/>
            <w:noWrap/>
            <w:vAlign w:val="center"/>
          </w:tcPr>
          <w:p w:rsidR="00D04603" w:rsidRDefault="00D04603">
            <w:pPr>
              <w:rPr>
                <w:b/>
                <w:sz w:val="28"/>
                <w:szCs w:val="28"/>
              </w:rPr>
            </w:pPr>
          </w:p>
          <w:p w:rsidR="00D04603" w:rsidRDefault="00D0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2023 77,9 рублей. Сумма на 2024-2025 года в сумме 77,0 тыс. рублей и 77,0 тыс. рулей соответственно.</w:t>
            </w:r>
          </w:p>
        </w:tc>
      </w:tr>
      <w:tr w:rsidR="00D04603" w:rsidTr="00D04603">
        <w:trPr>
          <w:trHeight w:val="373"/>
        </w:trPr>
        <w:tc>
          <w:tcPr>
            <w:tcW w:w="9639" w:type="dxa"/>
            <w:noWrap/>
            <w:vAlign w:val="center"/>
          </w:tcPr>
          <w:p w:rsidR="00D04603" w:rsidRDefault="00D0460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«Жилищное хозяйство» в 2023 году предусмотрены расходы в области жилищного хозяйства 0,5 тыс. рублей; в сумме 0,5 тыс. рублей по подразделу «Благоустройство» на благоустройство территории поселений. Сумма на 2024-2025 года </w:t>
            </w:r>
            <w:r>
              <w:rPr>
                <w:color w:val="000000"/>
                <w:sz w:val="28"/>
                <w:szCs w:val="28"/>
              </w:rPr>
              <w:t>составляет 1,5 тыс. рублей и 1,5 тыс. рублей соответственно</w:t>
            </w:r>
          </w:p>
        </w:tc>
      </w:tr>
      <w:tr w:rsidR="00D04603" w:rsidTr="00D04603">
        <w:trPr>
          <w:trHeight w:val="375"/>
        </w:trPr>
        <w:tc>
          <w:tcPr>
            <w:tcW w:w="9639" w:type="dxa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D04603" w:rsidTr="00D04603">
        <w:trPr>
          <w:trHeight w:val="80"/>
        </w:trPr>
        <w:tc>
          <w:tcPr>
            <w:tcW w:w="9639" w:type="dxa"/>
            <w:noWrap/>
            <w:vAlign w:val="center"/>
            <w:hideMark/>
          </w:tcPr>
          <w:p w:rsidR="00D04603" w:rsidRDefault="00D0460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>
              <w:rPr>
                <w:bCs/>
                <w:sz w:val="28"/>
                <w:szCs w:val="28"/>
              </w:rPr>
              <w:t>на 2023 год в сумме 1,5 тыс. рублей и на плановый период 2024 и 2025 годов</w:t>
            </w:r>
            <w:r>
              <w:rPr>
                <w:sz w:val="28"/>
                <w:szCs w:val="28"/>
              </w:rPr>
              <w:t xml:space="preserve"> в сумме 1,0 тыс. рублей.</w:t>
            </w:r>
          </w:p>
          <w:p w:rsidR="00D04603" w:rsidRDefault="00D0460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</w:tc>
      </w:tr>
    </w:tbl>
    <w:p w:rsidR="00D04603" w:rsidRDefault="00D04603" w:rsidP="00D04603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4603" w:rsidRDefault="00D04603" w:rsidP="00D04603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</w:t>
      </w:r>
    </w:p>
    <w:p w:rsidR="00D04603" w:rsidRDefault="00D04603" w:rsidP="00D04603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«О бюджете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на 2023 год и на плановый период 2024 и 2025 годов» </w:t>
      </w:r>
    </w:p>
    <w:p w:rsidR="00D04603" w:rsidRDefault="00D04603" w:rsidP="00D04603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00.00.2021 № 00</w:t>
      </w:r>
    </w:p>
    <w:p w:rsidR="00D04603" w:rsidRDefault="00D04603" w:rsidP="00D046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4603" w:rsidRDefault="00D04603" w:rsidP="00D0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D04603" w:rsidRDefault="00D04603" w:rsidP="00D046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бюджет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D04603" w:rsidRDefault="00D04603" w:rsidP="00D04603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45"/>
        <w:gridCol w:w="870"/>
        <w:gridCol w:w="985"/>
      </w:tblGrid>
      <w:tr w:rsidR="00D04603" w:rsidTr="00D04603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04603" w:rsidTr="00D04603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D04603" w:rsidTr="00D04603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468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603" w:rsidRDefault="00D0460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4603" w:rsidTr="00D04603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4603" w:rsidRDefault="00D0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4603" w:rsidRDefault="00D046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603" w:rsidRDefault="00D04603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</w:t>
            </w: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603" w:rsidRDefault="00D04603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</w:tc>
      </w:tr>
      <w:tr w:rsidR="00D04603" w:rsidTr="00D04603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D04603" w:rsidTr="00D04603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603" w:rsidRDefault="00D04603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</w:t>
            </w:r>
          </w:p>
        </w:tc>
      </w:tr>
      <w:tr w:rsidR="00D04603" w:rsidTr="00D04603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603" w:rsidRDefault="00D04603">
            <w:pPr>
              <w:keepNext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04603" w:rsidTr="00D04603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04603" w:rsidTr="00D04603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4603" w:rsidTr="00D04603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373,8</w:t>
            </w:r>
          </w:p>
        </w:tc>
      </w:tr>
      <w:tr w:rsidR="00D04603" w:rsidTr="00D04603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D04603" w:rsidTr="00D04603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603" w:rsidRDefault="00D04603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сельских</w:t>
            </w:r>
            <w:r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</w:tc>
      </w:tr>
      <w:tr w:rsidR="00D04603" w:rsidTr="00D04603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603" w:rsidRDefault="00D046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D04603" w:rsidTr="00D04603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603" w:rsidRDefault="00D04603">
            <w:pPr>
              <w:rPr>
                <w:b/>
                <w:bCs/>
                <w:sz w:val="24"/>
                <w:szCs w:val="24"/>
              </w:rPr>
            </w:pPr>
          </w:p>
          <w:p w:rsidR="00D04603" w:rsidRDefault="00D046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</w:p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603" w:rsidRDefault="00D0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841,8</w:t>
            </w:r>
          </w:p>
        </w:tc>
      </w:tr>
    </w:tbl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p w:rsidR="00D04603" w:rsidRDefault="00D04603" w:rsidP="00D04603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D04603" w:rsidTr="00D04603">
        <w:trPr>
          <w:trHeight w:val="444"/>
        </w:trPr>
        <w:tc>
          <w:tcPr>
            <w:tcW w:w="9750" w:type="dxa"/>
            <w:gridSpan w:val="7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ОЖИДАЕМАЯ ОЦЕНКА </w:t>
            </w:r>
          </w:p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 за 2022 год </w:t>
            </w:r>
          </w:p>
        </w:tc>
      </w:tr>
      <w:tr w:rsidR="00D04603" w:rsidTr="00D0460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D04603" w:rsidTr="00D0460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2022год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D04603" w:rsidTr="00D0460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2 02 16001 10 0000 150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</w:t>
            </w:r>
            <w:r>
              <w:rPr>
                <w:b/>
                <w:bCs/>
                <w:sz w:val="24"/>
                <w:szCs w:val="24"/>
              </w:rPr>
              <w:lastRenderedPageBreak/>
              <w:t>ения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04603" w:rsidTr="00D0460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-195,9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4603" w:rsidRDefault="00D046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4603" w:rsidRDefault="00D0460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rPr>
          <w:color w:val="FF0000"/>
          <w:sz w:val="28"/>
          <w:szCs w:val="28"/>
        </w:rPr>
      </w:pPr>
    </w:p>
    <w:p w:rsidR="00D04603" w:rsidRDefault="00D04603" w:rsidP="00D04603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 xml:space="preserve">Каменского района Алтайского края </w:t>
      </w:r>
      <w:r>
        <w:rPr>
          <w:b/>
          <w:bCs/>
          <w:sz w:val="28"/>
          <w:szCs w:val="28"/>
        </w:rPr>
        <w:t>на 2023 год и на плановый период 2024 и 2025 годов</w:t>
      </w:r>
    </w:p>
    <w:p w:rsidR="00D04603" w:rsidRDefault="00D04603" w:rsidP="00D04603">
      <w:pPr>
        <w:keepNext/>
        <w:jc w:val="center"/>
        <w:outlineLvl w:val="1"/>
        <w:rPr>
          <w:sz w:val="28"/>
          <w:szCs w:val="28"/>
        </w:rPr>
      </w:pP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2023  год сформированы в соответствии с основными направлениями бюджетной и налоговой политики края на 2023 год и на плановый период 2024 и 2025 годов, с учетом положений Послания Президента Российской Федерации Федеральному Собранию Российской от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21.04.2021, </w:t>
      </w:r>
      <w:r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D04603" w:rsidRDefault="00D04603" w:rsidP="00D04603"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D04603" w:rsidRDefault="00D04603" w:rsidP="00D04603">
      <w:pPr>
        <w:pStyle w:val="ConsPlusNormal"/>
        <w:ind w:firstLine="709"/>
        <w:jc w:val="both"/>
      </w:pPr>
    </w:p>
    <w:p w:rsidR="00D04603" w:rsidRDefault="00D04603" w:rsidP="00D04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D04603" w:rsidRDefault="00D04603" w:rsidP="00D04603">
      <w:pPr>
        <w:pStyle w:val="ConsPlusNormal"/>
        <w:ind w:firstLine="709"/>
        <w:jc w:val="center"/>
      </w:pPr>
    </w:p>
    <w:p w:rsidR="00D04603" w:rsidRDefault="00D04603" w:rsidP="00D0460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bCs/>
          <w:sz w:val="28"/>
          <w:szCs w:val="28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D04603" w:rsidRDefault="00D04603" w:rsidP="00D0460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D04603" w:rsidRDefault="00D04603" w:rsidP="00D04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D04603" w:rsidRDefault="00D04603" w:rsidP="00D04603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D04603" w:rsidRDefault="00D04603" w:rsidP="00D04603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04603" w:rsidRDefault="00D04603" w:rsidP="00D04603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D04603" w:rsidRDefault="00D04603" w:rsidP="00D04603">
      <w:pPr>
        <w:pStyle w:val="af7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01.01.2023 составит 16242 рублей.</w:t>
      </w:r>
    </w:p>
    <w:p w:rsidR="00D04603" w:rsidRDefault="00D04603" w:rsidP="00D046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>
        <w:rPr>
          <w:bCs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D04603" w:rsidRDefault="00D04603" w:rsidP="00D046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D04603" w:rsidRDefault="00D04603" w:rsidP="00D046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D04603" w:rsidRDefault="00D04603" w:rsidP="00D046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D04603" w:rsidRDefault="00D04603" w:rsidP="00D046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220.2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>
        <w:rPr>
          <w:sz w:val="28"/>
          <w:szCs w:val="28"/>
        </w:rPr>
        <w:t xml:space="preserve"> их рассмотрения федеральным казначейством» с 01.01.2023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Передаче подлежат следующие функции, связанные: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бюджетных и денежных обязательств получателей средств бюджета поселения;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>
        <w:rPr>
          <w:sz w:val="28"/>
          <w:szCs w:val="28"/>
        </w:rPr>
        <w:t>обязательств получателей средств бюджета поселения</w:t>
      </w:r>
      <w:proofErr w:type="gramEnd"/>
      <w:r>
        <w:rPr>
          <w:sz w:val="28"/>
          <w:szCs w:val="28"/>
        </w:rPr>
        <w:t>;</w:t>
      </w:r>
    </w:p>
    <w:p w:rsidR="00D04603" w:rsidRDefault="00D04603" w:rsidP="00D046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D04603" w:rsidRDefault="00D04603" w:rsidP="00D046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04603" w:rsidRDefault="00D04603" w:rsidP="00D04603">
      <w:pPr>
        <w:ind w:firstLine="709"/>
        <w:jc w:val="both"/>
        <w:rPr>
          <w:b/>
          <w:sz w:val="28"/>
          <w:szCs w:val="28"/>
          <w:lang w:eastAsia="en-US"/>
        </w:rPr>
      </w:pPr>
    </w:p>
    <w:p w:rsidR="00D04603" w:rsidRDefault="00D04603" w:rsidP="00D04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D04603" w:rsidRDefault="00D04603" w:rsidP="00D046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на 2023 и на плановый период 2024 и 2025 годов ориентированы на поддержку, повышение конкурентоспособности приоритетных отраслей экономики, на создание условий для восстановления деловой активности в условиях </w:t>
      </w:r>
      <w:proofErr w:type="spellStart"/>
      <w:r>
        <w:rPr>
          <w:color w:val="000000"/>
          <w:sz w:val="28"/>
          <w:szCs w:val="28"/>
        </w:rPr>
        <w:t>санкционных</w:t>
      </w:r>
      <w:proofErr w:type="spellEnd"/>
      <w:r>
        <w:rPr>
          <w:color w:val="000000"/>
          <w:sz w:val="28"/>
          <w:szCs w:val="28"/>
        </w:rPr>
        <w:t xml:space="preserve"> ограничений.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D04603" w:rsidRDefault="00D04603" w:rsidP="00D04603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</w:t>
      </w:r>
      <w:r>
        <w:rPr>
          <w:sz w:val="28"/>
          <w:szCs w:val="28"/>
          <w:highlight w:val="yellow"/>
        </w:rPr>
        <w:t xml:space="preserve"> 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01.01.2024 года. Соответственно, физическим лицам налоговый орган исчислит платежи в 2025 году (за 2024 год).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отсутствуют.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выделения отдельных видов налогов).</w:t>
      </w:r>
    </w:p>
    <w:p w:rsidR="00D04603" w:rsidRDefault="00D04603" w:rsidP="00D0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распределением между бюджетами субъектов по нормативам, установленным федеральным законом о федеральном бюджете.</w:t>
      </w:r>
    </w:p>
    <w:p w:rsidR="00D04603" w:rsidRDefault="00D04603" w:rsidP="00D0460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процентов будут зачисляться 100% в федеральный бюджет.</w:t>
      </w:r>
    </w:p>
    <w:p w:rsidR="0015088A" w:rsidRDefault="0015088A"/>
    <w:sectPr w:rsidR="0015088A" w:rsidSect="00D046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603"/>
    <w:rsid w:val="000000C0"/>
    <w:rsid w:val="00000FFA"/>
    <w:rsid w:val="00001588"/>
    <w:rsid w:val="00001937"/>
    <w:rsid w:val="00001E20"/>
    <w:rsid w:val="000025F5"/>
    <w:rsid w:val="00003330"/>
    <w:rsid w:val="000035BB"/>
    <w:rsid w:val="00003782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205F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072E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044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5AF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530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44ED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50461"/>
    <w:rsid w:val="00650584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6D9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A90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A29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448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5ED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B6A"/>
    <w:rsid w:val="00A27DCD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3A2D"/>
    <w:rsid w:val="00C3587E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73D"/>
    <w:rsid w:val="00D038AF"/>
    <w:rsid w:val="00D03BE8"/>
    <w:rsid w:val="00D03D55"/>
    <w:rsid w:val="00D04227"/>
    <w:rsid w:val="00D04603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29C1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7CE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5FA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6DA1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021"/>
    <w:rsid w:val="00F8591F"/>
    <w:rsid w:val="00F86637"/>
    <w:rsid w:val="00F86B2D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856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387"/>
    <w:rsid w:val="00FD6419"/>
    <w:rsid w:val="00FD6F33"/>
    <w:rsid w:val="00FD7595"/>
    <w:rsid w:val="00FE091C"/>
    <w:rsid w:val="00FE0BC5"/>
    <w:rsid w:val="00FE1569"/>
    <w:rsid w:val="00FE1E82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4603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0460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unhideWhenUsed/>
    <w:qFormat/>
    <w:rsid w:val="00D0460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D04603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0460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04603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D0460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D04603"/>
    <w:rPr>
      <w:rFonts w:ascii="Arial" w:eastAsia="Times New Roman" w:hAnsi="Arial" w:cs="Times New Roman"/>
      <w:b/>
      <w:bCs/>
      <w:lang/>
    </w:rPr>
  </w:style>
  <w:style w:type="character" w:customStyle="1" w:styleId="40">
    <w:name w:val="Заголовок 4 Знак"/>
    <w:basedOn w:val="a0"/>
    <w:link w:val="4"/>
    <w:rsid w:val="00D04603"/>
    <w:rPr>
      <w:rFonts w:ascii="Times New Roman" w:eastAsia="Times New Roman" w:hAnsi="Times New Roman" w:cs="Times New Roman"/>
      <w:b/>
      <w:bCs/>
      <w:sz w:val="24"/>
      <w:lang/>
    </w:rPr>
  </w:style>
  <w:style w:type="character" w:customStyle="1" w:styleId="50">
    <w:name w:val="Заголовок 5 Знак"/>
    <w:basedOn w:val="a0"/>
    <w:link w:val="5"/>
    <w:semiHidden/>
    <w:rsid w:val="00D0460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D0460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,H1 Знак,&quot;Алмаз&quot; Знак1"/>
    <w:rsid w:val="00D04603"/>
    <w:rPr>
      <w:sz w:val="24"/>
    </w:rPr>
  </w:style>
  <w:style w:type="character" w:customStyle="1" w:styleId="21">
    <w:name w:val="Заголовок 2 Знак1"/>
    <w:aliases w:val="H2 Знак,&quot;Изумруд&quot; Знак1"/>
    <w:semiHidden/>
    <w:rsid w:val="00D04603"/>
    <w:rPr>
      <w:b/>
      <w:bCs w:val="0"/>
      <w:sz w:val="44"/>
    </w:rPr>
  </w:style>
  <w:style w:type="character" w:customStyle="1" w:styleId="61">
    <w:name w:val="Заголовок 6 Знак1"/>
    <w:aliases w:val="H6 Знак1"/>
    <w:basedOn w:val="a0"/>
    <w:semiHidden/>
    <w:rsid w:val="00D046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semiHidden/>
    <w:unhideWhenUsed/>
    <w:rsid w:val="00D0460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a5"/>
    <w:uiPriority w:val="99"/>
    <w:semiHidden/>
    <w:unhideWhenUsed/>
    <w:rsid w:val="00D04603"/>
    <w:rPr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46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semiHidden/>
    <w:unhideWhenUsed/>
    <w:rsid w:val="00D04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0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0460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b"/>
    <w:semiHidden/>
    <w:unhideWhenUsed/>
    <w:rsid w:val="00D04603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"/>
    <w:basedOn w:val="aa"/>
    <w:semiHidden/>
    <w:unhideWhenUsed/>
    <w:rsid w:val="00D04603"/>
    <w:pPr>
      <w:suppressAutoHyphens/>
    </w:pPr>
    <w:rPr>
      <w:rFonts w:cs="Tahoma"/>
      <w:lang w:eastAsia="ar-SA"/>
    </w:rPr>
  </w:style>
  <w:style w:type="paragraph" w:styleId="ad">
    <w:name w:val="Title"/>
    <w:basedOn w:val="a"/>
    <w:link w:val="ae"/>
    <w:qFormat/>
    <w:rsid w:val="00D04603"/>
    <w:pPr>
      <w:jc w:val="center"/>
    </w:pPr>
    <w:rPr>
      <w:b/>
      <w:sz w:val="28"/>
      <w:lang/>
    </w:rPr>
  </w:style>
  <w:style w:type="character" w:customStyle="1" w:styleId="ae">
    <w:name w:val="Название Знак"/>
    <w:basedOn w:val="a0"/>
    <w:link w:val="ad"/>
    <w:rsid w:val="00D04603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f">
    <w:name w:val="Body Text Indent"/>
    <w:basedOn w:val="a"/>
    <w:link w:val="af0"/>
    <w:semiHidden/>
    <w:unhideWhenUsed/>
    <w:rsid w:val="00D04603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D04603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semiHidden/>
    <w:unhideWhenUsed/>
    <w:rsid w:val="00D04603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D0460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4">
    <w:name w:val="Body Text Indent 2"/>
    <w:basedOn w:val="a"/>
    <w:link w:val="25"/>
    <w:semiHidden/>
    <w:unhideWhenUsed/>
    <w:rsid w:val="00D04603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D04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D04603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D0460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1">
    <w:name w:val="Plain Text"/>
    <w:basedOn w:val="a"/>
    <w:link w:val="af2"/>
    <w:semiHidden/>
    <w:unhideWhenUsed/>
    <w:rsid w:val="00D04603"/>
    <w:pPr>
      <w:widowControl w:val="0"/>
    </w:pPr>
    <w:rPr>
      <w:rFonts w:ascii="Courier New" w:hAnsi="Courier New"/>
      <w:lang/>
    </w:rPr>
  </w:style>
  <w:style w:type="character" w:customStyle="1" w:styleId="af2">
    <w:name w:val="Текст Знак"/>
    <w:basedOn w:val="a0"/>
    <w:link w:val="af1"/>
    <w:semiHidden/>
    <w:rsid w:val="00D04603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annotation subject"/>
    <w:basedOn w:val="a4"/>
    <w:next w:val="a4"/>
    <w:link w:val="af4"/>
    <w:semiHidden/>
    <w:unhideWhenUsed/>
    <w:rsid w:val="00D04603"/>
    <w:rPr>
      <w:b/>
      <w:bCs/>
    </w:rPr>
  </w:style>
  <w:style w:type="character" w:customStyle="1" w:styleId="af4">
    <w:name w:val="Тема примечания Знак"/>
    <w:basedOn w:val="a5"/>
    <w:link w:val="af3"/>
    <w:semiHidden/>
    <w:rsid w:val="00D04603"/>
    <w:rPr>
      <w:b/>
      <w:bCs/>
    </w:rPr>
  </w:style>
  <w:style w:type="paragraph" w:styleId="af5">
    <w:name w:val="Balloon Text"/>
    <w:basedOn w:val="a"/>
    <w:link w:val="af6"/>
    <w:semiHidden/>
    <w:unhideWhenUsed/>
    <w:rsid w:val="00D04603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semiHidden/>
    <w:rsid w:val="00D04603"/>
    <w:rPr>
      <w:rFonts w:ascii="Tahoma" w:eastAsia="Times New Roman" w:hAnsi="Tahoma" w:cs="Times New Roman"/>
      <w:sz w:val="16"/>
      <w:szCs w:val="16"/>
      <w:lang/>
    </w:rPr>
  </w:style>
  <w:style w:type="paragraph" w:styleId="af7">
    <w:name w:val="List Paragraph"/>
    <w:basedOn w:val="a"/>
    <w:uiPriority w:val="34"/>
    <w:qFormat/>
    <w:rsid w:val="00D04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D046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603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D0460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D0460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D04603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nformat">
    <w:name w:val="ConsPlusNonformat"/>
    <w:rsid w:val="00D0460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1"/>
    <w:basedOn w:val="a"/>
    <w:rsid w:val="00D0460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D04603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04603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4">
    <w:name w:val="Текст1"/>
    <w:basedOn w:val="a"/>
    <w:rsid w:val="00D04603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5">
    <w:name w:val="Текст примечания1"/>
    <w:basedOn w:val="a"/>
    <w:rsid w:val="00D04603"/>
    <w:pPr>
      <w:suppressAutoHyphens/>
    </w:pPr>
    <w:rPr>
      <w:lang w:val="en-US" w:eastAsia="ar-SA"/>
    </w:rPr>
  </w:style>
  <w:style w:type="paragraph" w:customStyle="1" w:styleId="af8">
    <w:name w:val="Содержимое таблицы"/>
    <w:basedOn w:val="a"/>
    <w:rsid w:val="00D04603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9">
    <w:name w:val="Заголовок таблицы"/>
    <w:basedOn w:val="af8"/>
    <w:rsid w:val="00D04603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D04603"/>
    <w:pPr>
      <w:suppressAutoHyphens/>
    </w:pPr>
    <w:rPr>
      <w:lang w:eastAsia="ar-SA"/>
    </w:rPr>
  </w:style>
  <w:style w:type="paragraph" w:customStyle="1" w:styleId="16">
    <w:name w:val="Абзац списка1"/>
    <w:basedOn w:val="a"/>
    <w:rsid w:val="00D046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annotation reference"/>
    <w:semiHidden/>
    <w:unhideWhenUsed/>
    <w:rsid w:val="00D04603"/>
    <w:rPr>
      <w:sz w:val="16"/>
      <w:szCs w:val="16"/>
    </w:rPr>
  </w:style>
  <w:style w:type="character" w:customStyle="1" w:styleId="hl41">
    <w:name w:val="hl41"/>
    <w:rsid w:val="00D04603"/>
    <w:rPr>
      <w:b/>
      <w:bCs/>
      <w:sz w:val="20"/>
      <w:szCs w:val="20"/>
    </w:rPr>
  </w:style>
  <w:style w:type="character" w:customStyle="1" w:styleId="messagein1">
    <w:name w:val="messagein1"/>
    <w:rsid w:val="00D04603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">
    <w:name w:val="Знак Знак9"/>
    <w:rsid w:val="00D04603"/>
    <w:rPr>
      <w:b/>
      <w:bCs/>
      <w:i/>
      <w:iCs/>
      <w:sz w:val="26"/>
      <w:szCs w:val="26"/>
      <w:lang w:val="en-US" w:eastAsia="en-US" w:bidi="ar-SA"/>
    </w:rPr>
  </w:style>
  <w:style w:type="character" w:customStyle="1" w:styleId="Absatz-Standardschriftart">
    <w:name w:val="Absatz-Standardschriftart"/>
    <w:rsid w:val="00D04603"/>
  </w:style>
  <w:style w:type="character" w:customStyle="1" w:styleId="WW-Absatz-Standardschriftart">
    <w:name w:val="WW-Absatz-Standardschriftart"/>
    <w:rsid w:val="00D04603"/>
  </w:style>
  <w:style w:type="character" w:customStyle="1" w:styleId="WW-Absatz-Standardschriftart1">
    <w:name w:val="WW-Absatz-Standardschriftart1"/>
    <w:rsid w:val="00D04603"/>
  </w:style>
  <w:style w:type="character" w:customStyle="1" w:styleId="17">
    <w:name w:val="Основной шрифт абзаца1"/>
    <w:rsid w:val="00D04603"/>
  </w:style>
  <w:style w:type="character" w:customStyle="1" w:styleId="afc">
    <w:name w:val="Знак Знак"/>
    <w:rsid w:val="00D04603"/>
    <w:rPr>
      <w:b/>
      <w:bCs/>
      <w:i/>
      <w:iCs/>
      <w:sz w:val="26"/>
      <w:szCs w:val="26"/>
      <w:lang w:val="en-US" w:eastAsia="ar-SA" w:bidi="ar-SA"/>
    </w:rPr>
  </w:style>
  <w:style w:type="character" w:customStyle="1" w:styleId="18">
    <w:name w:val="Знак примечания1"/>
    <w:rsid w:val="00D04603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04603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04603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04603"/>
  </w:style>
  <w:style w:type="table" w:styleId="afd">
    <w:name w:val="Table Grid"/>
    <w:basedOn w:val="a1"/>
    <w:rsid w:val="00D0460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D04603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D046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10980</Words>
  <Characters>62586</Characters>
  <Application>Microsoft Office Word</Application>
  <DocSecurity>0</DocSecurity>
  <Lines>521</Lines>
  <Paragraphs>146</Paragraphs>
  <ScaleCrop>false</ScaleCrop>
  <Company/>
  <LinksUpToDate>false</LinksUpToDate>
  <CharactersWithSpaces>73420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2022-11-17T01:52:00Z</dcterms:created>
  <dcterms:modified xsi:type="dcterms:W3CDTF">2022-11-17T01:52:00Z</dcterms:modified>
</cp:coreProperties>
</file>