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F" w:rsidRPr="00340230" w:rsidRDefault="00FC7083" w:rsidP="00FD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9DF" w:rsidRPr="00340230">
        <w:rPr>
          <w:b/>
          <w:sz w:val="28"/>
          <w:szCs w:val="28"/>
        </w:rPr>
        <w:t>РОССИЙСКАЯ ФЕДЕРАЦИЯ</w:t>
      </w:r>
      <w:r w:rsidR="003305E5">
        <w:rPr>
          <w:b/>
          <w:sz w:val="28"/>
          <w:szCs w:val="28"/>
        </w:rPr>
        <w:t xml:space="preserve"> </w:t>
      </w:r>
    </w:p>
    <w:p w:rsidR="00FD79DF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</w:t>
      </w:r>
      <w:r w:rsidR="00247F8E">
        <w:rPr>
          <w:b/>
          <w:sz w:val="28"/>
          <w:szCs w:val="28"/>
        </w:rPr>
        <w:t>Рыбинского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</w:p>
    <w:p w:rsidR="00FD79DF" w:rsidRPr="00B121D9" w:rsidRDefault="00FD79DF" w:rsidP="00FD79DF">
      <w:pPr>
        <w:jc w:val="center"/>
        <w:rPr>
          <w:b/>
          <w:sz w:val="44"/>
          <w:szCs w:val="44"/>
        </w:rPr>
      </w:pPr>
      <w:r w:rsidRPr="00340230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735314" w:rsidRPr="00B121D9" w:rsidRDefault="00735314" w:rsidP="00B121D9">
      <w:pPr>
        <w:jc w:val="center"/>
        <w:rPr>
          <w:b/>
          <w:sz w:val="44"/>
          <w:szCs w:val="44"/>
        </w:rPr>
      </w:pPr>
    </w:p>
    <w:p w:rsidR="00735314" w:rsidRDefault="00735314" w:rsidP="00735314">
      <w:pPr>
        <w:rPr>
          <w:b/>
        </w:rPr>
      </w:pPr>
    </w:p>
    <w:p w:rsidR="00B121D9" w:rsidRDefault="00635958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47F8E">
        <w:rPr>
          <w:b/>
          <w:sz w:val="28"/>
          <w:szCs w:val="28"/>
        </w:rPr>
        <w:t>9</w:t>
      </w:r>
      <w:r w:rsidR="00B46992">
        <w:rPr>
          <w:b/>
          <w:sz w:val="28"/>
          <w:szCs w:val="28"/>
        </w:rPr>
        <w:t>.0</w:t>
      </w:r>
      <w:r w:rsidR="00247F8E">
        <w:rPr>
          <w:b/>
          <w:sz w:val="28"/>
          <w:szCs w:val="28"/>
        </w:rPr>
        <w:t>8</w:t>
      </w:r>
      <w:r w:rsidR="00964625">
        <w:rPr>
          <w:b/>
          <w:sz w:val="28"/>
          <w:szCs w:val="28"/>
        </w:rPr>
        <w:t>.</w:t>
      </w:r>
      <w:r w:rsidR="003305E5">
        <w:rPr>
          <w:b/>
          <w:sz w:val="28"/>
          <w:szCs w:val="28"/>
        </w:rPr>
        <w:t>2020</w:t>
      </w:r>
      <w:r w:rsidR="00935C5F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 w:rsidR="00247F8E">
        <w:rPr>
          <w:b/>
          <w:sz w:val="28"/>
          <w:szCs w:val="28"/>
        </w:rPr>
        <w:t>23</w:t>
      </w:r>
      <w:r w:rsidR="00A46755">
        <w:rPr>
          <w:b/>
          <w:sz w:val="28"/>
          <w:szCs w:val="28"/>
        </w:rPr>
        <w:t xml:space="preserve">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935C5F">
        <w:rPr>
          <w:b/>
          <w:sz w:val="28"/>
          <w:szCs w:val="28"/>
        </w:rPr>
        <w:t xml:space="preserve">         </w:t>
      </w:r>
      <w:r w:rsidR="00FD79DF">
        <w:rPr>
          <w:b/>
          <w:sz w:val="28"/>
          <w:szCs w:val="28"/>
        </w:rPr>
        <w:t xml:space="preserve">                 </w:t>
      </w:r>
      <w:r w:rsidR="00935C5F">
        <w:rPr>
          <w:b/>
          <w:sz w:val="28"/>
          <w:szCs w:val="28"/>
        </w:rPr>
        <w:t xml:space="preserve"> </w:t>
      </w:r>
      <w:r w:rsidR="00FD79DF">
        <w:rPr>
          <w:b/>
          <w:sz w:val="28"/>
          <w:szCs w:val="28"/>
        </w:rPr>
        <w:t xml:space="preserve">с. </w:t>
      </w:r>
      <w:r w:rsidR="00247F8E">
        <w:rPr>
          <w:b/>
          <w:sz w:val="28"/>
          <w:szCs w:val="28"/>
        </w:rPr>
        <w:t>Рыбное</w:t>
      </w:r>
    </w:p>
    <w:p w:rsidR="00A531C5" w:rsidRPr="00B121D9" w:rsidRDefault="00A531C5" w:rsidP="0073531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A46755" w:rsidRPr="003F60D4" w:rsidTr="00FC0AF5">
        <w:tc>
          <w:tcPr>
            <w:tcW w:w="5353" w:type="dxa"/>
          </w:tcPr>
          <w:p w:rsidR="0067453F" w:rsidRPr="003F60D4" w:rsidRDefault="003305E5" w:rsidP="00AB1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</w:t>
            </w:r>
            <w:r w:rsidR="00635958">
              <w:rPr>
                <w:sz w:val="28"/>
                <w:szCs w:val="28"/>
              </w:rPr>
              <w:t xml:space="preserve">ии изменения в постановление от </w:t>
            </w:r>
            <w:r>
              <w:rPr>
                <w:sz w:val="28"/>
                <w:szCs w:val="28"/>
              </w:rPr>
              <w:t>1</w:t>
            </w:r>
            <w:r w:rsidR="00AB1C8B">
              <w:rPr>
                <w:sz w:val="28"/>
                <w:szCs w:val="28"/>
              </w:rPr>
              <w:t>3</w:t>
            </w:r>
            <w:r w:rsidR="00635958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 xml:space="preserve">.2016 </w:t>
            </w:r>
            <w:r w:rsidR="00635958">
              <w:rPr>
                <w:sz w:val="28"/>
                <w:szCs w:val="28"/>
              </w:rPr>
              <w:t xml:space="preserve">№ </w:t>
            </w:r>
            <w:r w:rsidR="00AB1C8B">
              <w:rPr>
                <w:sz w:val="28"/>
                <w:szCs w:val="28"/>
              </w:rPr>
              <w:t>36</w:t>
            </w:r>
            <w:r w:rsidR="00635958">
              <w:rPr>
                <w:sz w:val="28"/>
                <w:szCs w:val="28"/>
              </w:rPr>
              <w:t xml:space="preserve"> «</w:t>
            </w:r>
            <w:r w:rsidR="00A46755" w:rsidRPr="003F60D4">
              <w:rPr>
                <w:sz w:val="28"/>
                <w:szCs w:val="28"/>
              </w:rPr>
              <w:t>Об</w:t>
            </w:r>
            <w:r w:rsidR="00202403">
              <w:rPr>
                <w:sz w:val="28"/>
                <w:szCs w:val="28"/>
              </w:rPr>
              <w:t xml:space="preserve"> </w:t>
            </w:r>
            <w:r w:rsidR="00484631">
              <w:rPr>
                <w:sz w:val="28"/>
                <w:szCs w:val="28"/>
              </w:rPr>
              <w:t xml:space="preserve">утверждении </w:t>
            </w:r>
            <w:r w:rsidR="00202403">
              <w:rPr>
                <w:sz w:val="28"/>
                <w:szCs w:val="28"/>
              </w:rPr>
              <w:t xml:space="preserve">нормативных затрат на обеспечение функций </w:t>
            </w:r>
            <w:r w:rsidR="00011FDE">
              <w:rPr>
                <w:sz w:val="28"/>
                <w:szCs w:val="28"/>
              </w:rPr>
              <w:t>Админист</w:t>
            </w:r>
            <w:r w:rsidR="00FC0AF5">
              <w:rPr>
                <w:sz w:val="28"/>
                <w:szCs w:val="28"/>
              </w:rPr>
              <w:t>рации</w:t>
            </w:r>
            <w:r w:rsidR="00CC0A1F">
              <w:rPr>
                <w:sz w:val="28"/>
                <w:szCs w:val="28"/>
              </w:rPr>
              <w:t xml:space="preserve"> </w:t>
            </w:r>
            <w:r w:rsidR="00247F8E">
              <w:rPr>
                <w:sz w:val="28"/>
                <w:szCs w:val="28"/>
              </w:rPr>
              <w:t>Рыбинского</w:t>
            </w:r>
            <w:r w:rsidR="00CC0A1F">
              <w:rPr>
                <w:sz w:val="28"/>
                <w:szCs w:val="28"/>
              </w:rPr>
              <w:t xml:space="preserve"> сельсовета</w:t>
            </w:r>
            <w:r w:rsidR="00283860">
              <w:rPr>
                <w:sz w:val="28"/>
                <w:szCs w:val="28"/>
              </w:rPr>
              <w:t xml:space="preserve"> Каменского </w:t>
            </w:r>
            <w:r w:rsidR="00202403">
              <w:rPr>
                <w:sz w:val="28"/>
                <w:szCs w:val="28"/>
              </w:rPr>
              <w:t xml:space="preserve">района </w:t>
            </w:r>
            <w:r w:rsidR="00CC0A1F">
              <w:rPr>
                <w:sz w:val="28"/>
                <w:szCs w:val="28"/>
              </w:rPr>
              <w:t>Алтайского края</w:t>
            </w:r>
            <w:r w:rsidR="00635958">
              <w:rPr>
                <w:sz w:val="28"/>
                <w:szCs w:val="28"/>
              </w:rPr>
              <w:t>»</w:t>
            </w:r>
          </w:p>
        </w:tc>
      </w:tr>
    </w:tbl>
    <w:p w:rsidR="00B121D9" w:rsidRPr="0097562F" w:rsidRDefault="00B121D9" w:rsidP="00735314">
      <w:pPr>
        <w:rPr>
          <w:sz w:val="20"/>
          <w:szCs w:val="20"/>
        </w:rPr>
      </w:pPr>
    </w:p>
    <w:p w:rsidR="003305E5" w:rsidRDefault="003305E5" w:rsidP="003305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20.07.2019 № 946 «О внесении изменения в Постановление Правительства Российской Федерации № 1047 от 13.10.2014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</w:t>
      </w:r>
      <w:r w:rsidR="00635958">
        <w:rPr>
          <w:sz w:val="28"/>
          <w:szCs w:val="28"/>
        </w:rPr>
        <w:t>дами и муниципальных органов», п</w:t>
      </w:r>
      <w:r>
        <w:rPr>
          <w:sz w:val="28"/>
          <w:szCs w:val="28"/>
        </w:rPr>
        <w:t>ротестом Каменской межрайонной прокуратуры № 02-71-2020/</w:t>
      </w:r>
      <w:r w:rsidR="00B43C6E">
        <w:rPr>
          <w:sz w:val="28"/>
          <w:szCs w:val="28"/>
        </w:rPr>
        <w:t>103</w:t>
      </w:r>
      <w:r>
        <w:rPr>
          <w:sz w:val="28"/>
          <w:szCs w:val="28"/>
        </w:rPr>
        <w:t xml:space="preserve"> от 30.06.2020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735314" w:rsidRDefault="00D07190" w:rsidP="00935C5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216220" w:rsidRPr="0047533B" w:rsidRDefault="00635958" w:rsidP="0021622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35958">
        <w:rPr>
          <w:sz w:val="28"/>
          <w:szCs w:val="28"/>
        </w:rPr>
        <w:t>1.</w:t>
      </w:r>
      <w:r w:rsidR="00216220">
        <w:rPr>
          <w:sz w:val="28"/>
          <w:szCs w:val="28"/>
        </w:rPr>
        <w:t xml:space="preserve"> </w:t>
      </w:r>
      <w:r w:rsidR="00216220" w:rsidRPr="0047533B">
        <w:rPr>
          <w:sz w:val="28"/>
          <w:szCs w:val="28"/>
        </w:rPr>
        <w:t xml:space="preserve">Удовлетворить протест Каменского межрайонного прокурора от </w:t>
      </w:r>
      <w:r w:rsidR="00216220">
        <w:rPr>
          <w:sz w:val="28"/>
          <w:szCs w:val="28"/>
        </w:rPr>
        <w:t xml:space="preserve"> 30</w:t>
      </w:r>
      <w:r w:rsidR="00216220" w:rsidRPr="0047533B">
        <w:rPr>
          <w:sz w:val="28"/>
          <w:szCs w:val="28"/>
        </w:rPr>
        <w:t>.</w:t>
      </w:r>
      <w:r w:rsidR="00216220">
        <w:rPr>
          <w:sz w:val="28"/>
          <w:szCs w:val="28"/>
        </w:rPr>
        <w:t>06.2020</w:t>
      </w:r>
      <w:r w:rsidR="00216220" w:rsidRPr="0047533B">
        <w:rPr>
          <w:sz w:val="28"/>
          <w:szCs w:val="28"/>
        </w:rPr>
        <w:t xml:space="preserve"> № </w:t>
      </w:r>
      <w:r w:rsidR="00B43C6E">
        <w:rPr>
          <w:sz w:val="28"/>
          <w:szCs w:val="28"/>
        </w:rPr>
        <w:t>02-71-2020/103</w:t>
      </w:r>
      <w:r w:rsidR="00216220" w:rsidRPr="0047533B">
        <w:rPr>
          <w:sz w:val="28"/>
          <w:szCs w:val="28"/>
        </w:rPr>
        <w:t xml:space="preserve"> полностью.</w:t>
      </w:r>
    </w:p>
    <w:p w:rsidR="00216220" w:rsidRPr="00216220" w:rsidRDefault="00216220" w:rsidP="00216220">
      <w:pPr>
        <w:pStyle w:val="ae"/>
        <w:tabs>
          <w:tab w:val="left" w:pos="56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16220">
        <w:rPr>
          <w:rFonts w:ascii="Times New Roman" w:hAnsi="Times New Roman"/>
          <w:sz w:val="28"/>
          <w:szCs w:val="28"/>
        </w:rPr>
        <w:t xml:space="preserve">2. Внести следующие изменения и дополнения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16220">
        <w:rPr>
          <w:rFonts w:ascii="Times New Roman" w:hAnsi="Times New Roman"/>
          <w:sz w:val="28"/>
          <w:szCs w:val="28"/>
        </w:rPr>
        <w:t xml:space="preserve"> от 1</w:t>
      </w:r>
      <w:r w:rsidR="00CB4856">
        <w:rPr>
          <w:rFonts w:ascii="Times New Roman" w:hAnsi="Times New Roman"/>
          <w:sz w:val="28"/>
          <w:szCs w:val="28"/>
        </w:rPr>
        <w:t>3</w:t>
      </w:r>
      <w:r w:rsidRPr="00216220">
        <w:rPr>
          <w:rFonts w:ascii="Times New Roman" w:hAnsi="Times New Roman"/>
          <w:sz w:val="28"/>
          <w:szCs w:val="28"/>
        </w:rPr>
        <w:t>.07.2016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220">
        <w:rPr>
          <w:rFonts w:ascii="Times New Roman" w:hAnsi="Times New Roman"/>
          <w:sz w:val="28"/>
          <w:szCs w:val="28"/>
        </w:rPr>
        <w:t xml:space="preserve">№ </w:t>
      </w:r>
      <w:r w:rsidR="00CB4856">
        <w:rPr>
          <w:rFonts w:ascii="Times New Roman" w:hAnsi="Times New Roman"/>
          <w:sz w:val="28"/>
          <w:szCs w:val="28"/>
        </w:rPr>
        <w:t>36</w:t>
      </w:r>
      <w:r w:rsidRPr="00216220">
        <w:rPr>
          <w:rFonts w:ascii="Times New Roman" w:hAnsi="Times New Roman"/>
          <w:sz w:val="28"/>
          <w:szCs w:val="28"/>
        </w:rPr>
        <w:t xml:space="preserve"> «Об </w:t>
      </w:r>
      <w:r w:rsidR="00F74537">
        <w:rPr>
          <w:rFonts w:ascii="Times New Roman" w:hAnsi="Times New Roman"/>
          <w:sz w:val="28"/>
          <w:szCs w:val="28"/>
        </w:rPr>
        <w:t>утверждении</w:t>
      </w:r>
      <w:r w:rsidRPr="00216220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Администрации </w:t>
      </w:r>
      <w:r w:rsidR="00CB4856">
        <w:rPr>
          <w:rFonts w:ascii="Times New Roman" w:hAnsi="Times New Roman"/>
          <w:sz w:val="28"/>
          <w:szCs w:val="28"/>
        </w:rPr>
        <w:t xml:space="preserve">Рыбинского </w:t>
      </w:r>
      <w:r w:rsidRPr="00216220">
        <w:rPr>
          <w:rFonts w:ascii="Times New Roman" w:hAnsi="Times New Roman"/>
          <w:sz w:val="28"/>
          <w:szCs w:val="28"/>
        </w:rPr>
        <w:t xml:space="preserve">сельсовета Каменского района Алтайского края» (в дальнейшем </w:t>
      </w:r>
      <w:r w:rsidR="003F1C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Нормативные затраты</w:t>
      </w:r>
      <w:r w:rsidR="003F1C33">
        <w:rPr>
          <w:rFonts w:ascii="Times New Roman" w:hAnsi="Times New Roman"/>
          <w:sz w:val="28"/>
          <w:szCs w:val="28"/>
        </w:rPr>
        <w:t>»</w:t>
      </w:r>
      <w:r w:rsidRPr="00216220">
        <w:rPr>
          <w:rFonts w:ascii="Times New Roman" w:hAnsi="Times New Roman"/>
          <w:sz w:val="28"/>
          <w:szCs w:val="28"/>
        </w:rPr>
        <w:t>)</w:t>
      </w:r>
      <w:r w:rsidR="003F1C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305E5" w:rsidRPr="0007120B" w:rsidRDefault="00216220" w:rsidP="00216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пункт 7. </w:t>
      </w:r>
      <w:r w:rsidR="003305E5" w:rsidRPr="00216220">
        <w:rPr>
          <w:sz w:val="28"/>
          <w:szCs w:val="28"/>
        </w:rPr>
        <w:t>Нормативных затрат</w:t>
      </w:r>
      <w:r w:rsidR="003305E5" w:rsidRPr="00216220">
        <w:rPr>
          <w:b/>
          <w:sz w:val="28"/>
          <w:szCs w:val="28"/>
        </w:rPr>
        <w:t xml:space="preserve"> </w:t>
      </w:r>
      <w:r w:rsidR="003305E5" w:rsidRPr="0007120B">
        <w:rPr>
          <w:sz w:val="28"/>
          <w:szCs w:val="28"/>
        </w:rPr>
        <w:t>изложить в следующей редакции: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"7.</w:t>
      </w:r>
      <w:r w:rsidRPr="0007120B">
        <w:rPr>
          <w:rFonts w:ascii="Times New Roman" w:hAnsi="Times New Roman"/>
          <w:sz w:val="28"/>
          <w:szCs w:val="28"/>
        </w:rPr>
        <w:t xml:space="preserve"> Затраты на информационно-коммуникационные технологии включают следующие группы затрат: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услуги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аренду;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основных средств;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нематериальных активов;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услуги связи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абонентскую плату;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приему и передаче телеграмм;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иные затраты на услуги связи.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содержание имущества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диагностику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справочно-правовых систем;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утилизации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изготовление криптографических ключей шифрования и электронной подписи;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основных средств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рабочих станций;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средств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 энергии "Росатом", Государственной корпорации по космической деятельности "Роскосмос", и других нематериальных активов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мониторов;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системных блоков;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материальных запасов в сфере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технологий.</w:t>
      </w:r>
    </w:p>
    <w:p w:rsidR="0060627D" w:rsidRDefault="00293B98" w:rsidP="00330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C5F">
        <w:rPr>
          <w:sz w:val="28"/>
          <w:szCs w:val="28"/>
        </w:rPr>
        <w:t xml:space="preserve">. </w:t>
      </w:r>
      <w:r w:rsidR="007A20F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A20FE" w:rsidRPr="006768D4" w:rsidRDefault="00293B98" w:rsidP="0093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C5F">
        <w:rPr>
          <w:sz w:val="28"/>
          <w:szCs w:val="28"/>
        </w:rPr>
        <w:t xml:space="preserve">. </w:t>
      </w:r>
      <w:r w:rsidR="007A20FE">
        <w:rPr>
          <w:sz w:val="28"/>
          <w:szCs w:val="28"/>
        </w:rPr>
        <w:t xml:space="preserve">Ответственным за разработку и принятие муниципальных правовых актов об утверждении нормативных затрат на обеспечение функций Администрации </w:t>
      </w:r>
      <w:r w:rsidR="0097562F">
        <w:rPr>
          <w:sz w:val="28"/>
          <w:szCs w:val="28"/>
        </w:rPr>
        <w:t xml:space="preserve">сельсовета </w:t>
      </w:r>
      <w:r w:rsidR="007A20FE">
        <w:rPr>
          <w:sz w:val="28"/>
          <w:szCs w:val="28"/>
        </w:rPr>
        <w:t xml:space="preserve">назначить </w:t>
      </w:r>
      <w:r w:rsidR="00216220">
        <w:rPr>
          <w:sz w:val="28"/>
          <w:szCs w:val="28"/>
        </w:rPr>
        <w:t>г</w:t>
      </w:r>
      <w:r>
        <w:rPr>
          <w:sz w:val="28"/>
          <w:szCs w:val="28"/>
        </w:rPr>
        <w:t>лаву сельсовета</w:t>
      </w:r>
      <w:r w:rsidR="00CB4856">
        <w:rPr>
          <w:sz w:val="28"/>
          <w:szCs w:val="28"/>
        </w:rPr>
        <w:t xml:space="preserve">, </w:t>
      </w:r>
      <w:r w:rsidR="00E81381">
        <w:rPr>
          <w:sz w:val="28"/>
          <w:szCs w:val="28"/>
        </w:rPr>
        <w:t>ведущего бухгалтера централизованной бухгалтерии по обслуживанию бюджетов сельских поселений комитета администрации Каменского района Алтайского края по финансам, налоговой и кредитной политике</w:t>
      </w:r>
      <w:r w:rsidR="00FC7083">
        <w:rPr>
          <w:sz w:val="28"/>
          <w:szCs w:val="28"/>
        </w:rPr>
        <w:t>.</w:t>
      </w:r>
    </w:p>
    <w:p w:rsidR="008B3CFB" w:rsidRDefault="008B3CFB" w:rsidP="008B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3B98">
        <w:rPr>
          <w:sz w:val="28"/>
          <w:szCs w:val="28"/>
        </w:rPr>
        <w:t>4</w:t>
      </w:r>
      <w:r w:rsidR="00D07190" w:rsidRPr="006768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постановление в соответствии со ст. 46 Устава муниципального образования </w:t>
      </w:r>
      <w:r w:rsidR="00CB4856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7562F" w:rsidRDefault="008B3CFB" w:rsidP="008B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3B98">
        <w:rPr>
          <w:sz w:val="28"/>
          <w:szCs w:val="28"/>
        </w:rPr>
        <w:t>5</w:t>
      </w:r>
      <w:r w:rsidR="00735314">
        <w:rPr>
          <w:sz w:val="28"/>
          <w:szCs w:val="28"/>
        </w:rPr>
        <w:t>. К</w:t>
      </w:r>
      <w:r w:rsidR="00B121D9">
        <w:rPr>
          <w:sz w:val="28"/>
          <w:szCs w:val="28"/>
        </w:rPr>
        <w:t xml:space="preserve">онтроль за исполнением </w:t>
      </w:r>
      <w:r w:rsidR="00B84DAF">
        <w:rPr>
          <w:sz w:val="28"/>
          <w:szCs w:val="28"/>
        </w:rPr>
        <w:t>постановлени</w:t>
      </w:r>
      <w:r w:rsidR="00B121D9">
        <w:rPr>
          <w:sz w:val="28"/>
          <w:szCs w:val="28"/>
        </w:rPr>
        <w:t>я</w:t>
      </w:r>
      <w:r w:rsidR="007A20FE">
        <w:rPr>
          <w:sz w:val="28"/>
          <w:szCs w:val="28"/>
        </w:rPr>
        <w:t xml:space="preserve"> оставляю за собой</w:t>
      </w:r>
      <w:r w:rsidR="00173C29">
        <w:rPr>
          <w:sz w:val="28"/>
          <w:szCs w:val="28"/>
        </w:rPr>
        <w:t>.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E81381" w:rsidP="00975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05E5">
        <w:rPr>
          <w:sz w:val="28"/>
          <w:szCs w:val="28"/>
        </w:rPr>
        <w:t xml:space="preserve"> сельсовета</w:t>
      </w:r>
      <w:r w:rsidR="0097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562F">
        <w:rPr>
          <w:sz w:val="28"/>
          <w:szCs w:val="28"/>
        </w:rPr>
        <w:t xml:space="preserve">                                                   </w:t>
      </w:r>
      <w:r w:rsidR="003305E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О.Д. Мерц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D2637" w:rsidRDefault="002D2637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935C5F" w:rsidP="00A141DD">
      <w:pPr>
        <w:jc w:val="both"/>
        <w:rPr>
          <w:sz w:val="28"/>
          <w:szCs w:val="28"/>
        </w:rPr>
      </w:pPr>
    </w:p>
    <w:sectPr w:rsidR="00935C5F" w:rsidSect="003305E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BE" w:rsidRDefault="004725BE">
      <w:r>
        <w:separator/>
      </w:r>
    </w:p>
  </w:endnote>
  <w:endnote w:type="continuationSeparator" w:id="0">
    <w:p w:rsidR="004725BE" w:rsidRDefault="004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BE" w:rsidRDefault="004725BE">
      <w:r>
        <w:separator/>
      </w:r>
    </w:p>
  </w:footnote>
  <w:footnote w:type="continuationSeparator" w:id="0">
    <w:p w:rsidR="004725BE" w:rsidRDefault="0047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4D7"/>
    <w:multiLevelType w:val="hybridMultilevel"/>
    <w:tmpl w:val="88E2D6A2"/>
    <w:lvl w:ilvl="0" w:tplc="1A745C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826E96"/>
    <w:multiLevelType w:val="hybridMultilevel"/>
    <w:tmpl w:val="CAB64382"/>
    <w:lvl w:ilvl="0" w:tplc="EA7C3E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19"/>
    <w:rsid w:val="00011FDE"/>
    <w:rsid w:val="00023674"/>
    <w:rsid w:val="00032106"/>
    <w:rsid w:val="00045502"/>
    <w:rsid w:val="000601FB"/>
    <w:rsid w:val="00073709"/>
    <w:rsid w:val="0008120B"/>
    <w:rsid w:val="000A03F5"/>
    <w:rsid w:val="000A2390"/>
    <w:rsid w:val="000B18DF"/>
    <w:rsid w:val="000B2C7B"/>
    <w:rsid w:val="000C19B2"/>
    <w:rsid w:val="000C36C0"/>
    <w:rsid w:val="000C40A4"/>
    <w:rsid w:val="000C5AD1"/>
    <w:rsid w:val="0010482D"/>
    <w:rsid w:val="00143446"/>
    <w:rsid w:val="00152E3D"/>
    <w:rsid w:val="0016336E"/>
    <w:rsid w:val="00173C29"/>
    <w:rsid w:val="00182241"/>
    <w:rsid w:val="00197C41"/>
    <w:rsid w:val="001C1EC6"/>
    <w:rsid w:val="001E0D80"/>
    <w:rsid w:val="001F1F20"/>
    <w:rsid w:val="002003D0"/>
    <w:rsid w:val="00202403"/>
    <w:rsid w:val="002064B1"/>
    <w:rsid w:val="00212127"/>
    <w:rsid w:val="00216220"/>
    <w:rsid w:val="002264B4"/>
    <w:rsid w:val="00231310"/>
    <w:rsid w:val="00236DB0"/>
    <w:rsid w:val="00241DC7"/>
    <w:rsid w:val="00242439"/>
    <w:rsid w:val="00247F8E"/>
    <w:rsid w:val="00262DA0"/>
    <w:rsid w:val="002718A9"/>
    <w:rsid w:val="00280A92"/>
    <w:rsid w:val="00280B75"/>
    <w:rsid w:val="00283860"/>
    <w:rsid w:val="00283F06"/>
    <w:rsid w:val="00292FB7"/>
    <w:rsid w:val="00293B98"/>
    <w:rsid w:val="002A14BB"/>
    <w:rsid w:val="002C193F"/>
    <w:rsid w:val="002D2637"/>
    <w:rsid w:val="002D6972"/>
    <w:rsid w:val="003305E5"/>
    <w:rsid w:val="00350FCB"/>
    <w:rsid w:val="0035139F"/>
    <w:rsid w:val="00365D63"/>
    <w:rsid w:val="00372AA6"/>
    <w:rsid w:val="003735A7"/>
    <w:rsid w:val="003847D2"/>
    <w:rsid w:val="0038492A"/>
    <w:rsid w:val="003910B2"/>
    <w:rsid w:val="003B1308"/>
    <w:rsid w:val="003C2A7D"/>
    <w:rsid w:val="003D0EBA"/>
    <w:rsid w:val="003E3B56"/>
    <w:rsid w:val="003F1C33"/>
    <w:rsid w:val="003F5797"/>
    <w:rsid w:val="003F60D4"/>
    <w:rsid w:val="0040057A"/>
    <w:rsid w:val="004016BA"/>
    <w:rsid w:val="00403131"/>
    <w:rsid w:val="00417298"/>
    <w:rsid w:val="004200D6"/>
    <w:rsid w:val="004222A1"/>
    <w:rsid w:val="00437C91"/>
    <w:rsid w:val="00450719"/>
    <w:rsid w:val="0045165A"/>
    <w:rsid w:val="00452AA7"/>
    <w:rsid w:val="004631BD"/>
    <w:rsid w:val="004725BE"/>
    <w:rsid w:val="00476CD5"/>
    <w:rsid w:val="00484631"/>
    <w:rsid w:val="004A5457"/>
    <w:rsid w:val="004B7D00"/>
    <w:rsid w:val="004D5FCF"/>
    <w:rsid w:val="004F5729"/>
    <w:rsid w:val="004F6C04"/>
    <w:rsid w:val="005235FA"/>
    <w:rsid w:val="005254A3"/>
    <w:rsid w:val="00533E63"/>
    <w:rsid w:val="00534FAA"/>
    <w:rsid w:val="00546BB3"/>
    <w:rsid w:val="005674A6"/>
    <w:rsid w:val="005863D0"/>
    <w:rsid w:val="005968C6"/>
    <w:rsid w:val="005A5BC8"/>
    <w:rsid w:val="005A6A12"/>
    <w:rsid w:val="005C5E4C"/>
    <w:rsid w:val="005C73E9"/>
    <w:rsid w:val="0060627D"/>
    <w:rsid w:val="006278A7"/>
    <w:rsid w:val="00630325"/>
    <w:rsid w:val="00634C8E"/>
    <w:rsid w:val="00635958"/>
    <w:rsid w:val="00643CB5"/>
    <w:rsid w:val="006447E2"/>
    <w:rsid w:val="0067453F"/>
    <w:rsid w:val="006768D4"/>
    <w:rsid w:val="00686589"/>
    <w:rsid w:val="0069282F"/>
    <w:rsid w:val="0069570C"/>
    <w:rsid w:val="006A1C61"/>
    <w:rsid w:val="006D1E8E"/>
    <w:rsid w:val="006D2893"/>
    <w:rsid w:val="006E055C"/>
    <w:rsid w:val="00706B71"/>
    <w:rsid w:val="00715D3A"/>
    <w:rsid w:val="007235F5"/>
    <w:rsid w:val="00726BC2"/>
    <w:rsid w:val="00732284"/>
    <w:rsid w:val="00735314"/>
    <w:rsid w:val="00776BFE"/>
    <w:rsid w:val="00777D50"/>
    <w:rsid w:val="00793CDD"/>
    <w:rsid w:val="007A20FE"/>
    <w:rsid w:val="007C0E33"/>
    <w:rsid w:val="007C77F4"/>
    <w:rsid w:val="007E4F4F"/>
    <w:rsid w:val="007E7D73"/>
    <w:rsid w:val="007F464D"/>
    <w:rsid w:val="00801B41"/>
    <w:rsid w:val="00825147"/>
    <w:rsid w:val="0082569D"/>
    <w:rsid w:val="00830F43"/>
    <w:rsid w:val="008411C2"/>
    <w:rsid w:val="008438EC"/>
    <w:rsid w:val="008570F1"/>
    <w:rsid w:val="0085710E"/>
    <w:rsid w:val="00860658"/>
    <w:rsid w:val="00866269"/>
    <w:rsid w:val="00870774"/>
    <w:rsid w:val="008716F4"/>
    <w:rsid w:val="00875317"/>
    <w:rsid w:val="00881BD0"/>
    <w:rsid w:val="008842E3"/>
    <w:rsid w:val="008859DD"/>
    <w:rsid w:val="008A24B4"/>
    <w:rsid w:val="008A558E"/>
    <w:rsid w:val="008B2963"/>
    <w:rsid w:val="008B3CFB"/>
    <w:rsid w:val="008C2A3D"/>
    <w:rsid w:val="008D57E2"/>
    <w:rsid w:val="008E1D1E"/>
    <w:rsid w:val="009101C5"/>
    <w:rsid w:val="0093424B"/>
    <w:rsid w:val="00935C5F"/>
    <w:rsid w:val="00937E2C"/>
    <w:rsid w:val="00944819"/>
    <w:rsid w:val="00961653"/>
    <w:rsid w:val="00964625"/>
    <w:rsid w:val="0097562F"/>
    <w:rsid w:val="00991804"/>
    <w:rsid w:val="00995C9B"/>
    <w:rsid w:val="009972D8"/>
    <w:rsid w:val="009A044A"/>
    <w:rsid w:val="009A34C4"/>
    <w:rsid w:val="009A4A32"/>
    <w:rsid w:val="009B02E7"/>
    <w:rsid w:val="009F15AF"/>
    <w:rsid w:val="00A045FC"/>
    <w:rsid w:val="00A141DD"/>
    <w:rsid w:val="00A216CE"/>
    <w:rsid w:val="00A32F23"/>
    <w:rsid w:val="00A46547"/>
    <w:rsid w:val="00A46755"/>
    <w:rsid w:val="00A531C5"/>
    <w:rsid w:val="00A81CDB"/>
    <w:rsid w:val="00A90E33"/>
    <w:rsid w:val="00A94A2B"/>
    <w:rsid w:val="00A9525E"/>
    <w:rsid w:val="00AB1C8B"/>
    <w:rsid w:val="00AE0E5F"/>
    <w:rsid w:val="00AE4C92"/>
    <w:rsid w:val="00AE541B"/>
    <w:rsid w:val="00B0516B"/>
    <w:rsid w:val="00B112C2"/>
    <w:rsid w:val="00B121D9"/>
    <w:rsid w:val="00B306A2"/>
    <w:rsid w:val="00B40BAB"/>
    <w:rsid w:val="00B4102D"/>
    <w:rsid w:val="00B41AD8"/>
    <w:rsid w:val="00B43C6E"/>
    <w:rsid w:val="00B46992"/>
    <w:rsid w:val="00B5175F"/>
    <w:rsid w:val="00B61759"/>
    <w:rsid w:val="00B71C07"/>
    <w:rsid w:val="00B84DAF"/>
    <w:rsid w:val="00B87B0D"/>
    <w:rsid w:val="00BB3184"/>
    <w:rsid w:val="00BD2234"/>
    <w:rsid w:val="00BD6353"/>
    <w:rsid w:val="00BE1FA1"/>
    <w:rsid w:val="00BE4074"/>
    <w:rsid w:val="00BE7DF7"/>
    <w:rsid w:val="00C010A0"/>
    <w:rsid w:val="00C10B0E"/>
    <w:rsid w:val="00C1358B"/>
    <w:rsid w:val="00C2737F"/>
    <w:rsid w:val="00C3167F"/>
    <w:rsid w:val="00C55A64"/>
    <w:rsid w:val="00C56CFC"/>
    <w:rsid w:val="00C70DE7"/>
    <w:rsid w:val="00C70E6B"/>
    <w:rsid w:val="00C7784B"/>
    <w:rsid w:val="00C87F7A"/>
    <w:rsid w:val="00C95D23"/>
    <w:rsid w:val="00CA5DF6"/>
    <w:rsid w:val="00CB42E4"/>
    <w:rsid w:val="00CB4856"/>
    <w:rsid w:val="00CC0A1F"/>
    <w:rsid w:val="00CC1217"/>
    <w:rsid w:val="00CC3E58"/>
    <w:rsid w:val="00CF0232"/>
    <w:rsid w:val="00D0430A"/>
    <w:rsid w:val="00D04B1E"/>
    <w:rsid w:val="00D07190"/>
    <w:rsid w:val="00D413CE"/>
    <w:rsid w:val="00D47A14"/>
    <w:rsid w:val="00D53F6D"/>
    <w:rsid w:val="00D56102"/>
    <w:rsid w:val="00D637CD"/>
    <w:rsid w:val="00D8113A"/>
    <w:rsid w:val="00D837C4"/>
    <w:rsid w:val="00D86923"/>
    <w:rsid w:val="00D87465"/>
    <w:rsid w:val="00DD1C54"/>
    <w:rsid w:val="00DE66C2"/>
    <w:rsid w:val="00DF0B57"/>
    <w:rsid w:val="00E05936"/>
    <w:rsid w:val="00E405C3"/>
    <w:rsid w:val="00E44456"/>
    <w:rsid w:val="00E51E97"/>
    <w:rsid w:val="00E55A4B"/>
    <w:rsid w:val="00E56C3F"/>
    <w:rsid w:val="00E81381"/>
    <w:rsid w:val="00E944B0"/>
    <w:rsid w:val="00EA0824"/>
    <w:rsid w:val="00EE0B55"/>
    <w:rsid w:val="00EE72BC"/>
    <w:rsid w:val="00EE7C2C"/>
    <w:rsid w:val="00EF4027"/>
    <w:rsid w:val="00EF65D1"/>
    <w:rsid w:val="00F0099E"/>
    <w:rsid w:val="00F2280E"/>
    <w:rsid w:val="00F23D42"/>
    <w:rsid w:val="00F314C8"/>
    <w:rsid w:val="00F31C59"/>
    <w:rsid w:val="00F32A15"/>
    <w:rsid w:val="00F46368"/>
    <w:rsid w:val="00F5230D"/>
    <w:rsid w:val="00F70CB6"/>
    <w:rsid w:val="00F74537"/>
    <w:rsid w:val="00F74A46"/>
    <w:rsid w:val="00F75605"/>
    <w:rsid w:val="00FC0AF5"/>
    <w:rsid w:val="00FC7083"/>
    <w:rsid w:val="00FD22F7"/>
    <w:rsid w:val="00FD79DF"/>
    <w:rsid w:val="00FE192D"/>
    <w:rsid w:val="00FE1FAE"/>
    <w:rsid w:val="00FE4D1F"/>
    <w:rsid w:val="00FE6E38"/>
    <w:rsid w:val="00FF0452"/>
    <w:rsid w:val="00FF6F9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E0EBC"/>
  <w15:docId w15:val="{928B34DC-EC22-4924-A485-A456117D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F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FCB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0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1DD"/>
    <w:rPr>
      <w:sz w:val="24"/>
      <w:szCs w:val="24"/>
    </w:r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350F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0FCB"/>
    <w:pPr>
      <w:ind w:left="720"/>
      <w:contextualSpacing/>
    </w:pPr>
  </w:style>
  <w:style w:type="paragraph" w:styleId="ac">
    <w:name w:val="footer"/>
    <w:basedOn w:val="a"/>
    <w:link w:val="ad"/>
    <w:uiPriority w:val="99"/>
    <w:rsid w:val="007A2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20FE"/>
    <w:rPr>
      <w:sz w:val="24"/>
      <w:szCs w:val="24"/>
    </w:rPr>
  </w:style>
  <w:style w:type="paragraph" w:styleId="ae">
    <w:name w:val="No Spacing"/>
    <w:uiPriority w:val="1"/>
    <w:qFormat/>
    <w:rsid w:val="003305E5"/>
    <w:rPr>
      <w:rFonts w:ascii="Calibri" w:hAnsi="Calibri"/>
      <w:sz w:val="22"/>
      <w:szCs w:val="22"/>
    </w:rPr>
  </w:style>
  <w:style w:type="paragraph" w:customStyle="1" w:styleId="af">
    <w:name w:val="Знак Знак Знак Знак"/>
    <w:basedOn w:val="a"/>
    <w:rsid w:val="00216220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21622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Пользователь</cp:lastModifiedBy>
  <cp:revision>11</cp:revision>
  <cp:lastPrinted>2020-07-21T07:38:00Z</cp:lastPrinted>
  <dcterms:created xsi:type="dcterms:W3CDTF">2020-07-29T01:03:00Z</dcterms:created>
  <dcterms:modified xsi:type="dcterms:W3CDTF">2020-08-19T04:42:00Z</dcterms:modified>
</cp:coreProperties>
</file>