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5" w:rsidRPr="007371B5" w:rsidRDefault="007371B5" w:rsidP="007371B5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71B5" w:rsidRPr="007371B5" w:rsidRDefault="007371B5" w:rsidP="007371B5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7371B5" w:rsidRPr="007371B5" w:rsidRDefault="007371B5" w:rsidP="007371B5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7371B5" w:rsidRPr="007371B5" w:rsidRDefault="007371B5" w:rsidP="007371B5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7371B5" w:rsidRPr="007371B5" w:rsidRDefault="007371B5" w:rsidP="007371B5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26.12.2022 № 26                                                                                   с. Корнилово</w:t>
      </w:r>
    </w:p>
    <w:p w:rsidR="007371B5" w:rsidRPr="007371B5" w:rsidRDefault="007371B5" w:rsidP="007371B5">
      <w:pPr>
        <w:keepNext/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менского района Алтайского края на 2023 год и на плановый период 2024 и 2025 годов</w:t>
      </w:r>
    </w:p>
    <w:p w:rsidR="007371B5" w:rsidRPr="007371B5" w:rsidRDefault="007371B5" w:rsidP="007371B5">
      <w:pPr>
        <w:keepNext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spacing w:after="0" w:line="240" w:lineRule="auto"/>
        <w:ind w:right="-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 Устава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</w:p>
    <w:p w:rsidR="007371B5" w:rsidRPr="007371B5" w:rsidRDefault="007371B5" w:rsidP="007371B5">
      <w:pPr>
        <w:keepNext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7371B5" w:rsidRPr="007371B5" w:rsidRDefault="007371B5" w:rsidP="007371B5">
      <w:pPr>
        <w:keepNext/>
        <w:spacing w:after="0" w:line="240" w:lineRule="auto"/>
        <w:ind w:right="-3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бюджет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Каменского района Алтайского края (далее по тексту бюджет поселения) на 2023 год и на плановый период 2024 и 2025 годов:</w:t>
      </w: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Статья 1. Основные характеристики бюджета поселения на 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и на плановый период 2024 и 2025 годов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 поселения на 2023 год: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поселения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сумме 3685,8 тыс. рублей, в том числе объем межбюджетных трансфертов, получаемых из других бюджетов, в сумме 1794,8 тыс. рублей;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поселения в сумме 3874,9 тыс. рублей;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верхний предел муниципального долга по состоянию на 1 января 2024 года в сумме 0 тыс. рублей, в том числе верхний предел долга по муниципал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гарантиям в сумме 0 тыс. рублей;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дефицит бюджета поселения в сумме 189,1 тыс. рублей.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2024 год и на 2025 год: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поселения на 2024 год в сумме 2453,4 тыс. рублей, в том числе объем межбюджетных трансфе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получаемых из других бюджетов, в сумме 530,4 тыс. рублей и на 2025 год в сумме 2480,3 тыс. рублей, в том числе объем межбюджетных трансфертов, п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лучаемых из других бюджетов, в сумме 525,3 тыс. рублей;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общий объем расходов бюджета поселения на 2024 год в сумме 2645,7 тыс. рублей, в том числе условно утвержденные расходы в сумме 66,1 тыс. ру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на 2025 год в сумме 2675,8 тыс. рублей, в том числе условно утвержде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расходы в сумме 133,8 тыс. рублей;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долга по состоянию на 1 января  2025 года в сумме 0,0 тыс. рублей, в том числе верхний предел долга по муниц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дефицит бюджета поселения на 2024 год в сумме 192,3 тыс. рублей и на 2025 год в сумме 195,5 тыс. рублей.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источники финансирования дефицита бюджета поселения на 2023 год согласно приложению 1 к настоящему Решению и на плановый п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2024 и 2025 годов согласно приложению 2 к настоящему Решению.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Статья 2. Бюджетные ассигнования бюджета поселения на 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и на плановый период 2024 и 2025 годов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бюджетных ассигнований по разделам и подразделам классификации расходов бюджета поселения на 2023 год согласно приложению 3 к настоящему Решению;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распределение бюджетных ассигнований по разделам и подразделам классификации расходов бюджета поселения на 2024 и 2025 годы согласно приложению 4 к настоящему Решению;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ведомственную структуру расходов бюджета поселения на 2023 год согласно приложению 5 к настоящему Решению;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ведомственную структуру расходов бюджета поселения на плановый период 2024 и 2025 годы согласно приложению 6 к настоящему Решению;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распределение бюджетных ассигнований по разделам, подразделам, целевым статьям, группам (группам и подгруппам) видов расходов на план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2024 и 2025 годы согласно приложению 8 к настоящему Решению.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общий объем бюджетных ассигнований, направляемых на исполнение публичных нормативных обязательств, на 2023 год в сумме 48,0 тыс. рублей, на 2024 год в сумме 48,0 тыс. рублей и на 2025 год в сумме 48,0 тыс. рублей.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Межбюджетные трансферты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межбюджетных трансфертов, подлежащих перечи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в 2023 году в бюджет из бюджета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осуществление полномочий по составлению проекта бюджета посел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исполнению бюджета поселения, контролю за его исполнением, составл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отчета об исполнении бюджета поселения в сумме 3,0 тыс. рублей;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по созданию условий для организации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 и обеспечения жителей поселения услугами организаций культуры в су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2,4 тыс. рублей;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объем межбюджетных трансфертов, подлежащих перечи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в 2024 году в бюджет из бюджета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полномочий по составлению проекта бюджета посел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исполнению бюджета поселения, контролю за его исполнением, составл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отчета об исполнении бюджета поселения в сумме 3,0 тыс. рублей;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по созданию условий для организации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 и обеспечения жителей поселения услугами организаций культуры в су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2,4 тыс. рублей;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межбюджетных трансфертов, подлежащих перечи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в 2025 году в бюджет из бюджета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полномочий по составлению проекта бюджета посел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исполнению бюджета поселения, контролю за его исполнением, составл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отчета об исполнении бюджета поселения в сумме 3,0 тыс. рублей;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полномочий по созданию условий для организации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 и обеспечения жителей поселения услугами организаций культуры в су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2,4 тыс. рублей.</w:t>
      </w:r>
    </w:p>
    <w:p w:rsidR="007371B5" w:rsidRPr="007371B5" w:rsidRDefault="007371B5" w:rsidP="007371B5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4. Особенности исполнения бюджета поселения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7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Корниловского сельсовета Каменского района Алта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вправе в ходе исполнения настоящего Решения без внесения изм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371B5" w:rsidRPr="007371B5" w:rsidRDefault="007371B5" w:rsidP="007371B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Рекомендовать органам местного самоуправления не принимать реш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приводящих к увеличению численности муниципальных служащих.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5. Приведение решений и иных нормативных правовых актов в соответствие с настоящим Решением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иные нормативные правовые акты муниципального образов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приведению в соо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 с настоящим Решением не позднее трех месяцев со дня вступления в силу настоящего Решения.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6. Вступление в силу настоящего Решения</w:t>
      </w:r>
    </w:p>
    <w:p w:rsidR="007371B5" w:rsidRPr="007371B5" w:rsidRDefault="007371B5" w:rsidP="007371B5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решение вступает в силу с 1 января 2023 года.</w:t>
      </w:r>
    </w:p>
    <w:p w:rsidR="007371B5" w:rsidRPr="007371B5" w:rsidRDefault="007371B5" w:rsidP="007371B5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соответствии со ст. 4</w:t>
      </w:r>
      <w:r w:rsidR="006E51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7371B5" w:rsidRPr="007371B5" w:rsidRDefault="007371B5" w:rsidP="007371B5">
      <w:pPr>
        <w:keepNext/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постоянную планово-бюджетную комиссию сельского Совета депутатов (З.С.Шульгина).</w:t>
      </w:r>
    </w:p>
    <w:p w:rsidR="007371B5" w:rsidRPr="007371B5" w:rsidRDefault="007371B5" w:rsidP="007371B5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Председатель сельского Совета </w:t>
      </w:r>
    </w:p>
    <w:p w:rsidR="007371B5" w:rsidRPr="007371B5" w:rsidRDefault="007371B5" w:rsidP="007371B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депутатов </w:t>
      </w:r>
    </w:p>
    <w:p w:rsidR="007371B5" w:rsidRPr="007371B5" w:rsidRDefault="007371B5" w:rsidP="007371B5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С.В.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Сергейчук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______________О.Н. Кузнецова</w:t>
      </w:r>
    </w:p>
    <w:p w:rsidR="007371B5" w:rsidRDefault="007371B5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4A" w:rsidRDefault="005F744A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4A" w:rsidRDefault="005F744A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758" w:rsidRDefault="00B42758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4A" w:rsidRDefault="005F744A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A2" w:rsidRDefault="00EF62A2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A2" w:rsidRPr="007371B5" w:rsidRDefault="00EF62A2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1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сельского Совета депутатов от 26.12.2022 № 26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поселения на 2023 год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394"/>
        <w:gridCol w:w="1701"/>
      </w:tblGrid>
      <w:tr w:rsidR="007371B5" w:rsidRPr="007371B5" w:rsidTr="006E51D4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Источники финансирования </w:t>
            </w:r>
          </w:p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дефицита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lang/>
              </w:rPr>
              <w:t>Сумма,</w:t>
            </w: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371B5" w:rsidRPr="007371B5" w:rsidTr="006E51D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2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F7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сельского Совета депутатов от 26.12.2022 № 26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поселения на плановый период 2024 и 2025 годов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7371B5" w:rsidRPr="007371B5" w:rsidTr="006E51D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Источники финансирования </w:t>
            </w:r>
          </w:p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дефицита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2024 год, тыс. ру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2025 год, тыс. ру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7371B5" w:rsidRPr="007371B5" w:rsidTr="006E51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3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сельского Совета депутатов от 26.12.2022 № 26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B55DF6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7371B5" w:rsidRPr="007371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Распределение</w:t>
        </w:r>
      </w:hyperlink>
      <w:r w:rsidR="007371B5"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разделам и подразделам кла</w:t>
      </w:r>
      <w:r w:rsidR="007371B5"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71B5"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сификации расходов бюджета поселения на 2023 год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7371B5" w:rsidRPr="007371B5" w:rsidTr="006E51D4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Сумма,</w:t>
            </w:r>
          </w:p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7371B5" w:rsidRPr="007371B5" w:rsidTr="006E51D4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2659,1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(представ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тельных) органов государственной власти и местн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РФ, высших о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исполнительной власти субъектов РФ, мес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1381,6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правоохран</w:t>
            </w: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269,4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6E51D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</w:tbl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4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сельского Совета депутатов от 26.12.2022 № 26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B55DF6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7371B5" w:rsidRPr="007371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Распределение</w:t>
        </w:r>
      </w:hyperlink>
      <w:r w:rsidR="007371B5"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бюджетных ассигнований по разделам и подразделам кла</w:t>
      </w:r>
      <w:r w:rsidR="007371B5"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371B5"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сификации расходов бюджета поселения на плановый период 2024 и 2025 годов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7371B5" w:rsidRPr="007371B5" w:rsidTr="006E51D4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2024 год, тыс. ру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 2025 год, тыс. ру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7371B5" w:rsidRPr="007371B5" w:rsidTr="006E51D4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5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2037,3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2067,4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законодательных (пре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РФ, вы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органов исполнительной власти субъе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740,5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809,4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безопасность и правоохр</w:t>
            </w: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247,4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246,4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240CAD" w:rsidRPr="007371B5" w:rsidTr="006E51D4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CAD" w:rsidRDefault="00240CAD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CAD" w:rsidRDefault="00240CAD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CAD" w:rsidRDefault="00240CAD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CAD" w:rsidRDefault="00240CAD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CAD" w:rsidRPr="007371B5" w:rsidRDefault="00240CAD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D" w:rsidRPr="007371B5" w:rsidRDefault="00240CAD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D" w:rsidRPr="007371B5" w:rsidRDefault="00240CAD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D" w:rsidRPr="007371B5" w:rsidRDefault="00240CAD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AD" w:rsidRPr="007371B5" w:rsidRDefault="00240CAD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5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сельского Совета депутатов от 26.12.2022 № 26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</w:t>
      </w:r>
      <w:hyperlink r:id="rId9" w:history="1">
        <w:r w:rsidRPr="007371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структура</w:t>
        </w:r>
      </w:hyperlink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поселения на 2023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71B5" w:rsidRPr="007371B5" w:rsidTr="006E51D4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Сумма,</w:t>
            </w:r>
          </w:p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7371B5" w:rsidRPr="007371B5" w:rsidTr="006E51D4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7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2659,1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органов местного сам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органов местного сам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630"/>
        <w:gridCol w:w="509"/>
        <w:gridCol w:w="584"/>
        <w:gridCol w:w="2188"/>
        <w:gridCol w:w="766"/>
        <w:gridCol w:w="1242"/>
      </w:tblGrid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 РФ, высших органов исполнител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власти субъектов РФ, местных администраций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самоуправл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обеспечения выполнения фун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государственными (муниципал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ными) органами, казенными учре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дениями, органами управления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внебюджетными фо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тежей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расчетов за топливно-энергетические ресу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сы,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потребляемые органами мес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расходы органов местного с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фонды местных админ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1381,6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(оказание услуг) подведомстве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EF62A2">
        <w:trPr>
          <w:trHeight w:val="6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сти (оказание услуг) иных подведомстве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ных учреждений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бухгалтерии, группы хозяйственного обслужив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купка</w:t>
            </w:r>
            <w:proofErr w:type="spellEnd"/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трансфертов общего х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бюджетам муниципал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муниципальных районов из бюджетов поселений и межбюдже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трансферты бюджетам посел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из бюджетов муниципал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на осуществление части полномочий по решению вопр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местного значения в соответс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заключе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соглашениями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 муниципального образов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воохранительная деятел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и после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стихийных бедствий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предупреждению и ликв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чрезвычайных ситуаций и последс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стихийных бедствий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мероприятий, связанных с ликвид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последствий чрезвычайных 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и стихийных бедс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в области жили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ройству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образов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269,4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268,4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(оказание услуг) подведомстве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(оказание услуг) подведомстве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в сфере кул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расчетов за топливно-энергетические ресу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сы,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потребляемые органами мес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2 00 S1190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трансфертов общего х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бюджетам муниципал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муниципальных районов из бюджетов поселений и межбюдже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трансферты бюджетам посел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из бюджетов муниципал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на осуществление части полномочий по решению вопр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местного значения в соответс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заключе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соглашениями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нения, физической культуры и спо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здравоохр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спорта и физической культ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туризма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EF62A2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</w:tbl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6</w:t>
      </w:r>
    </w:p>
    <w:p w:rsidR="007371B5" w:rsidRPr="007371B5" w:rsidRDefault="007371B5" w:rsidP="007371B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сельского Совета депутатов от 26.12.2022 № 26</w:t>
      </w:r>
    </w:p>
    <w:p w:rsidR="007371B5" w:rsidRPr="007371B5" w:rsidRDefault="007371B5" w:rsidP="007371B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</w:t>
      </w:r>
      <w:hyperlink r:id="rId10" w:history="1">
        <w:r w:rsidRPr="007371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структура</w:t>
        </w:r>
      </w:hyperlink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поселения на 2024 и 2025 годы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2"/>
        <w:gridCol w:w="13"/>
        <w:gridCol w:w="17"/>
        <w:gridCol w:w="619"/>
        <w:gridCol w:w="24"/>
        <w:gridCol w:w="24"/>
        <w:gridCol w:w="16"/>
        <w:gridCol w:w="442"/>
        <w:gridCol w:w="51"/>
        <w:gridCol w:w="55"/>
        <w:gridCol w:w="439"/>
        <w:gridCol w:w="18"/>
        <w:gridCol w:w="10"/>
        <w:gridCol w:w="1352"/>
        <w:gridCol w:w="20"/>
        <w:gridCol w:w="12"/>
        <w:gridCol w:w="551"/>
        <w:gridCol w:w="27"/>
        <w:gridCol w:w="12"/>
        <w:gridCol w:w="850"/>
        <w:gridCol w:w="10"/>
        <w:gridCol w:w="37"/>
        <w:gridCol w:w="941"/>
      </w:tblGrid>
      <w:tr w:rsidR="007371B5" w:rsidRPr="007371B5" w:rsidTr="006E51D4">
        <w:trPr>
          <w:trHeight w:val="255"/>
        </w:trPr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Код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Вр</w:t>
            </w:r>
            <w:proofErr w:type="spellEnd"/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Сумма на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2024 год,</w:t>
            </w:r>
          </w:p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тыс. рублей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Сумма на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2025 год,</w:t>
            </w:r>
          </w:p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7371B5" w:rsidRPr="007371B5" w:rsidTr="006E51D4">
        <w:trPr>
          <w:trHeight w:val="255"/>
        </w:trPr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8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2067,4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тановленных функций органов мес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тановленных функций органов мес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исполнител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ной власти субъектов РФ, местных администраций 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809,4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тановленных функций органов мес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самоуправления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обеспечение расчетов за топливно-энергетические ресурсы,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потребляемые органами местного с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,158,0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809,4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хозяйственного обслуживания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трансфертов общего характ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бюджетам муниципальных образ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муниципальных районов из 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муниципального образования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и техногенного характера, п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и последствий стихийных бедствий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стихийных бедствий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последствий чрезвычайных ситу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стихийных бедствий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246,4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расчетов за топливно-энергетические ресурсы,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потребляемые органами местного с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90 2 00 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90 2 00 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Расходы на предоставление межбюдже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ных трансфертов общего характера бю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жетам муниципальных образ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ваний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там муниципальных районов из бю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 xml:space="preserve">жетов поселений и межбюджетные трансферты бюджетам поселений </w:t>
            </w:r>
            <w:proofErr w:type="gramStart"/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из бюджетов мун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ключенными с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глашениями</w:t>
            </w:r>
            <w:proofErr w:type="gramEnd"/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культ</w:t>
            </w:r>
            <w:r w:rsidRPr="00EF62A2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EF62A2">
              <w:rPr>
                <w:rFonts w:ascii="Times New Roman" w:eastAsia="Times New Roman" w:hAnsi="Times New Roman" w:cs="Times New Roman"/>
                <w:b/>
                <w:lang w:eastAsia="ru-RU"/>
              </w:rPr>
              <w:t>ры, кинематографии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и кинем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тографии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Пенсионное обеспечение 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социальной пол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тики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 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b/>
                <w:lang w:eastAsia="ru-RU"/>
              </w:rPr>
              <w:t>Массовый спорт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Иные вопросы в сфере здравоохран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ния, физической культуры и спорта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здравоохр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нения, спорта и физической культуры, туризма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дарственных (муниципальных) нужд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EF62A2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2A2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133,8</w:t>
            </w:r>
          </w:p>
        </w:tc>
      </w:tr>
    </w:tbl>
    <w:p w:rsidR="007371B5" w:rsidRPr="007371B5" w:rsidRDefault="007371B5" w:rsidP="007371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widowControl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7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сельского Совета депутатов от 26.12.2022 № 26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вым статьям, группам (группам и подгруппам) видов расходов 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7371B5" w:rsidRPr="007371B5" w:rsidTr="006E51D4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Сумма,</w:t>
            </w:r>
          </w:p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7371B5" w:rsidRPr="007371B5" w:rsidTr="006E51D4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2659,1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тановленных функций органов местн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ственной власти и местного сам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тановленных функций органов местн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тановленных функций органов местн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пливно-энергетические ресурсы,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требляемые органами местного сам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1381,6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1343,6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бюджетам поселений из бюджетов муниципальных районов на осущест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части полномочий по решению вопросов местного значения в соотве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 и последствий 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и последствий 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790,9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790,9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жилищного х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269,4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268,4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пливно-энергетические ресурсы,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требляемые органами местного сам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90 2 00 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90 2 00 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бюджетам поселений из бюджетов муниципальных районов на осущест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части полномочий по решению вопросов местного значения в соотве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спорта и физической культуры, 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371B5" w:rsidRPr="007371B5" w:rsidTr="006E51D4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</w:tbl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2A2" w:rsidRDefault="00EF62A2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2A2" w:rsidRDefault="00EF62A2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2A2" w:rsidRDefault="00EF62A2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2A2" w:rsidRDefault="00EF62A2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2A2" w:rsidRDefault="00EF62A2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2A2" w:rsidRPr="007371B5" w:rsidRDefault="00EF62A2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Приложение 8</w:t>
      </w:r>
    </w:p>
    <w:p w:rsidR="007371B5" w:rsidRPr="007371B5" w:rsidRDefault="007371B5" w:rsidP="007371B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сельского Совета депутатов от 26.12.2022 № 26</w:t>
      </w:r>
    </w:p>
    <w:p w:rsidR="007371B5" w:rsidRPr="007371B5" w:rsidRDefault="007371B5" w:rsidP="0073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вым статьям, группам (группам и подгруппам) видов расходов 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2024 и 2025 годов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5"/>
        <w:gridCol w:w="10"/>
        <w:gridCol w:w="12"/>
        <w:gridCol w:w="556"/>
        <w:gridCol w:w="10"/>
        <w:gridCol w:w="10"/>
        <w:gridCol w:w="556"/>
        <w:gridCol w:w="12"/>
        <w:gridCol w:w="1244"/>
        <w:gridCol w:w="8"/>
        <w:gridCol w:w="10"/>
        <w:gridCol w:w="704"/>
        <w:gridCol w:w="6"/>
        <w:gridCol w:w="26"/>
        <w:gridCol w:w="12"/>
        <w:gridCol w:w="943"/>
        <w:gridCol w:w="1155"/>
      </w:tblGrid>
      <w:tr w:rsidR="007371B5" w:rsidRPr="007371B5" w:rsidTr="006E51D4">
        <w:trPr>
          <w:trHeight w:val="255"/>
        </w:trPr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Рз</w:t>
            </w:r>
            <w:proofErr w:type="spellEnd"/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proofErr w:type="spellStart"/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Вр</w:t>
            </w:r>
            <w:proofErr w:type="spell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Сумма на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2024 год,</w:t>
            </w:r>
          </w:p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тыс. рублей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Сумма на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2025 год,</w:t>
            </w:r>
          </w:p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7371B5" w:rsidRPr="007371B5" w:rsidTr="006E51D4">
        <w:trPr>
          <w:trHeight w:val="255"/>
        </w:trPr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7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2037,3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2067,4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 органов местного 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01 2 00 10120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венной власти и местного самоуправл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 органов местного 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01 2 00 10150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 субъектов РФ, местных админис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раций 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новленных функций органов местного 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01 0 00 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органами управления государственными внебю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обеспечение расчетов за то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ливно-энергетические ресурсы,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ляемые органами местного самоуправл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 00 S1190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трансфертов общего характера 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жетам муниципальных образований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селений и межбюджетные трансферты 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поселений из бюджетов мун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ключенными соглашениями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муниципального образования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мун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99 9 00 14710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ранительная деятельность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 и последствий стихи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ситуаций и последствий стихи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связанных с ликвидацией 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чрезвычайных ситуаций и 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хийных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94 2 00 12010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дорожные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91 2 00 67270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91 2 00 67270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жилищного х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92 9 00 18020</w:t>
            </w:r>
          </w:p>
        </w:tc>
        <w:tc>
          <w:tcPr>
            <w:tcW w:w="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92 9 00 18080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в сфере культуры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ливно-энергетические ресурсы,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ляемые органами местного самоуправл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2 00 S1190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2 00 S1190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межбюдже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трансфертов общего характера бю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жетам муниципальных образований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и межбюджетные трансферты бюджетам поселений из бюджетов мун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ключенными соглашениями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90 4 00 16270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7371B5" w:rsidRPr="007371B5" w:rsidTr="006E51D4"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133,8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решению Корниловского сельского Совета депутатов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менского района Алтайского края на 2023 год 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2024 и 2025 годов»</w:t>
      </w:r>
    </w:p>
    <w:p w:rsidR="007371B5" w:rsidRPr="007371B5" w:rsidRDefault="007371B5" w:rsidP="0073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Корниловского сельского Совета депутатов «О бюджете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на 2023 год и на плановый период 2024 и 2025 годов» (далее</w:t>
      </w:r>
      <w:r w:rsidRPr="007371B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–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поселения) подготовлен в соответствии с требованиями Бюджетного кодекса Российской Федерации и решением Корниловского сел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Совета депутатов от 13.10.2016 № 16 «О Положении о бюджетном пр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цессе и финансовом контроле в муниципальном образовании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края».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основан на прогнозе социально-экономического разв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Корниловского сельсовета Каменского района Алтайского края на 2023 год и на плановый период 2024 и 2025 годов, основных направлениях бюджетной и налоговой политики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371B5" w:rsidRPr="007371B5" w:rsidRDefault="007371B5" w:rsidP="0073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доходов бюджета Корниловского сельсовета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доходов бюджета сельского поселения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на план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вый период 2024 и 2025 годов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основании оценки поступлений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в бюджет сельского поселения в 2022 году, с учетом выпадающих и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доходов и сложившейся динамики в условиях действующего 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конодательства, а также анализе статистических данных.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объема доходов бюджета сельсовета учтены изменения зак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Федерации.</w:t>
      </w:r>
    </w:p>
    <w:p w:rsidR="007371B5" w:rsidRPr="007371B5" w:rsidRDefault="007371B5" w:rsidP="007371B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жденными главными администраторами доходов бюджета поселения в соотве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пунктом 1 статьи 160.1 Бюджетного кодекса Российской Федерации.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доходов бюджета сельсовета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на плановый пер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 2024 и 2025 годов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1 к настоящей пояснительной записке.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собственных доходов бюджета сельского поселения составит на 2023 год – 1891,0 тыс. рублей; на плановый период 2024 год - 1923,0 тыс. ру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 на плановый период 2025 год – 1955,0 тыс. рублей. В структуре собстве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доходов бюджета сельсовета прогнозируется поступление: налоговых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в 2023 году в сумме 1791,0 тыс. рублей или 94,7 процента, неналоговых доходов  - в сумме 100,0 тыс. рублей или 5,3 процента; в плановом периоде 2024 году налоговых доходов в сумме 1820,0 тыс. рублей или 94,6 процента,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неналоговых доходов  - в сумме 103,0 тыс. рублей или 5,4 процента; в плановом периоде 2025 году налоговых доходов в сумме 1849,0 тыс. рублей или 94,6 процента, неналоговых доходов - в сумме 106,0 тыс. рублей или 5,4 процента.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собственных доходов бюджета сельсовета я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 налог на доходы физических лиц, налоги на совокупный доход, 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мельный налог, налог на имущество физических лиц, неналоговые доходы -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ходы, получаемые в виде арендной платы; доходы, поступающие в порядке возмещения расходов, связанных с эксплуатацией имущества.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поступления налога на доходы физических лиц на 2023 год прои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в соответствии с положениями главы 23 части 2 Налогового кодекса РФ.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 на доходы физических лиц определена исходя из прогноз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руемого объема фонда оплаты труда, численности занятого населения и реал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оценки поступлений налога на доходы физических лиц в 2022 году. В пр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гнозе поступлений НДФЛ учтены поступления налога на доходы физических лиц от прочих доходов и дополнительные поступления налога, в связи с пров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налоговыми органами контрольных мероприятий. 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налога на доходы физических лиц при нормативе отчислений 2 процента в местный бюджет прогнозируется в 2023 году в размере 113 тыс. рублей, ч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составляет 115,31 процентов к уточненным плановым показателям на 2022 год. Прогноз поступлений на плановый период 2024-2025 года соста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117,0 тыс. рублей и 120,0 тыс. рублей соответственно.</w:t>
      </w:r>
    </w:p>
    <w:p w:rsidR="007371B5" w:rsidRPr="007371B5" w:rsidRDefault="007371B5" w:rsidP="007371B5">
      <w:pPr>
        <w:keepNext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сельскохозяйственный налог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в размере 30 процентов, прогнозируется на 2023 год в сумме 490,0 тыс. рублей, на плановый период 2024 год в сумме 509,0 тыс. рублей, на  плановый период 2025 год 529,0 тыс. рублей.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в размере 100 процентов, прогнозируется в 2023 году в сумме 67 тыс. рублей, ч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составляет 121,8 процентов к уточненным плановым пок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зателям на 2022 год. Прогноз поступлений на плановый период 2024-2025 года составляет 68,0 тыс. рублей и 69,0 тыс. рублей соответственно.</w:t>
      </w:r>
      <w:r w:rsidRPr="007371B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2023 год в сумме 1121 тыс. рублей, в том числе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налог, взимаемый с организаций -330 тыс. рублей, з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мельный налог, взимаемый с физических лиц – 791 тыс. рублей; на плановый 2024 год- 1126,0 тыс. рублей; на плановый 2025 год – 1131,0 тыс. рублей.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Прогноз налога рассчитан исходя из действующего законодательства, ан</w:t>
      </w:r>
      <w:r w:rsidRPr="00737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лиза статистических данных о начислении налога за прошлый налоговый пер</w:t>
      </w:r>
      <w:r w:rsidRPr="00737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од.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7371B5" w:rsidRPr="007371B5" w:rsidRDefault="007371B5" w:rsidP="007371B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доходов бюджета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2023 год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прогнозируются неналоговые 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в размере</w:t>
      </w:r>
      <w:r w:rsidRPr="00737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100,0 тыс. рублей</w:t>
      </w:r>
      <w:r w:rsidRPr="00737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2024 - 103,0 тыс. ру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лей; на плановый 2025 год – 106,0 тыс. рублей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доходов, пол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чаемые в виде арендной платы; доходы, поступающие в порядке возмещения расходов, связанных с эксплуатацией имущества.</w:t>
      </w: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Поступления из районного бюджета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из районного бюджета в 2023 году планируются в сумме</w:t>
      </w:r>
      <w:r w:rsidRPr="00737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1794,8 тыс. рублей, 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составляет 169,4 процента к уточненным плановым п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казателям на 2022 год. 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составят: дотации бюджетам поселений на выравнивание бюджетной обеспеченности  в сумме 92,4 тыс. рублей, </w:t>
      </w:r>
      <w:r w:rsidRPr="007371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иные межбюджетные трансферты, передаваемые бюджетам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Pr="007371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поселений на решение вопросов местного значения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910,0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792,4 тыс. рублей.</w:t>
      </w:r>
      <w:r w:rsidRPr="007371B5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поступлений на плановый период 2024-2025 года составляет 530,4 тыс. рублей и 525,3 тыс. рублей соответственно.</w:t>
      </w:r>
    </w:p>
    <w:p w:rsidR="007371B5" w:rsidRPr="007371B5" w:rsidRDefault="007371B5" w:rsidP="00737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Корниловского сельсовета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сельсовета на 2023 год определен в размере 189,1 тыс. рублей, на плановый 2024 год 192,3 тыс. рублей, на плановый 2025 год 195,5 тыс. рублей. Дефицит Корниловского сельсовета составил 10 процентов от 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суммы налоговых и неналоговых доходов.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7371B5" w:rsidRPr="007371B5" w:rsidTr="006E51D4">
        <w:trPr>
          <w:trHeight w:val="349"/>
        </w:trPr>
        <w:tc>
          <w:tcPr>
            <w:tcW w:w="9639" w:type="dxa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Корниловского сельсовета</w:t>
            </w:r>
          </w:p>
        </w:tc>
      </w:tr>
      <w:tr w:rsidR="007371B5" w:rsidRPr="007371B5" w:rsidTr="006E51D4">
        <w:trPr>
          <w:trHeight w:val="564"/>
        </w:trPr>
        <w:tc>
          <w:tcPr>
            <w:tcW w:w="9639" w:type="dxa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принципами бюджетного законодательства предл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гаемые основные направления расходов местного бюджета на 2023 год обе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печивает исполнение принятых первоочередных расходных обязательств бюджета Корниловского сельсовета.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Запланированы расходы: на заработную плату и начисления на выплаты по оплате труда; на коммунальные услуги; на связь и интернет. В сложи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шихся условиях пересмотрены и оптимизированы объемы и структура бю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объем бюджетных ассигнований бюджета по расходам посел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2023 год определен в сумме 3874,9 тыс. рублей, на плановый период 2024-2025 год в сумме 2645,7 тыс. рублей и 2675,8 тыс. рублей соответстве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но. Планируемые расходы 2023 года к уточненному плану 2022 года соста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ляют 144,6 процента.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«Общегосударственные расходы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71B5" w:rsidRPr="007371B5" w:rsidTr="006E51D4">
        <w:trPr>
          <w:trHeight w:val="1699"/>
        </w:trPr>
        <w:tc>
          <w:tcPr>
            <w:tcW w:w="9639" w:type="dxa"/>
            <w:vAlign w:val="center"/>
          </w:tcPr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органов местного самоуправления прогнозир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ется на 2023 год в сумме 1277,5 тыс. рублей.</w:t>
            </w:r>
            <w:r w:rsidRPr="007371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 в сумме 2037,3 тыс. рублей и 2067,4 тыс. рублей соответственно.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подразделу «Другие общегосударственные вопросы» отражены ра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 на 2023 год в сумме 1378,6 тыс. рублей, на плановый 2024 год -776,3  тыс. рублей, на плановый 2025 год - 806,4 тыс. рублей</w:t>
            </w:r>
            <w:proofErr w:type="gramStart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содержание хозя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группы и на другие общегосударственные вопросы.</w:t>
            </w:r>
          </w:p>
          <w:p w:rsidR="007371B5" w:rsidRPr="007371B5" w:rsidRDefault="007371B5" w:rsidP="007371B5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Предусмотрены расходы на решение вопросов местного значения в соответствии с заключенными соглашениями на централизованную бухгалтерию в бюджет муниципального образования Каменский район из бюджета сельсовета в сумме 3 тыс. рублей.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«Национальная безопасность и правоохранительная деятел</w:t>
            </w:r>
            <w:r w:rsidRPr="0073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ность»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разделу на 2023 год предусмотрено предупреждение и ли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видация чрезвычайных ситуаций связанные с противопожарными меропри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тиями в сумме 30,0 тыс. рублей, на плановый период 2024-2025 года в сумме 20,0 тыс</w:t>
            </w:r>
            <w:proofErr w:type="gramStart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 и 20,0 тыс. рублей соответственно.</w:t>
            </w:r>
          </w:p>
        </w:tc>
      </w:tr>
      <w:tr w:rsidR="007371B5" w:rsidRPr="007371B5" w:rsidTr="006E51D4">
        <w:trPr>
          <w:trHeight w:val="930"/>
        </w:trPr>
        <w:tc>
          <w:tcPr>
            <w:tcW w:w="9639" w:type="dxa"/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«Национальная экономика»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разделу «Национальная экономика» отражены расходы на ремонт и содержания автомобильных дорог по переданным полномочиям из районного бюджета на 2023 год в сумме 790,9 тыс. рублей, на плановый период 2024-2025 года в сумме 245,0 тыс. рублей и 245,0 тыс. рублей соответственно.</w:t>
            </w:r>
          </w:p>
        </w:tc>
      </w:tr>
      <w:tr w:rsidR="007371B5" w:rsidRPr="007371B5" w:rsidTr="006E51D4">
        <w:trPr>
          <w:trHeight w:val="373"/>
        </w:trPr>
        <w:tc>
          <w:tcPr>
            <w:tcW w:w="9639" w:type="dxa"/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«Жилищно-коммунальное хозяйство»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подразделу «Жилищное хозяйство» в 2023 году предусмотрены ра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 в области жилищного хозяйства 0,5 тыс. рублей; в сумме 62,0 тыс. ру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по подразделу «Благоустройство» на благоустройство территории пос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лений, уличное освещение. Сумма на плановый период 2024-2025 года 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ставляет 47,5 тыс. рублей и 47,5 тыс. рублей соответственно.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1B5" w:rsidRPr="007371B5" w:rsidTr="006E51D4">
        <w:trPr>
          <w:trHeight w:val="375"/>
        </w:trPr>
        <w:tc>
          <w:tcPr>
            <w:tcW w:w="9639" w:type="dxa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«Культура и кинематография»</w:t>
            </w:r>
          </w:p>
        </w:tc>
      </w:tr>
      <w:tr w:rsidR="007371B5" w:rsidRPr="007371B5" w:rsidTr="006E51D4">
        <w:trPr>
          <w:trHeight w:val="80"/>
        </w:trPr>
        <w:tc>
          <w:tcPr>
            <w:tcW w:w="9639" w:type="dxa"/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подразделу «Культура» предусмотрены расходы на обеспечение деятельности Корниловского Дома культуры </w:t>
            </w:r>
            <w:r w:rsidRPr="00737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2023 год в сумме 267,0 тыс. рублей и на плановый период 2024 и 2025 годов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245,0 тыс. рублей и 245,0 тыс. рублей. 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Расходные обязательства в сфере культуры определяются статьей 36 Устава муниципального образования </w:t>
            </w:r>
            <w:proofErr w:type="spellStart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Каменского района Алтайского края. </w:t>
            </w:r>
          </w:p>
          <w:p w:rsidR="007371B5" w:rsidRPr="007371B5" w:rsidRDefault="007371B5" w:rsidP="007371B5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2,4 тыс. рублей.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«Социальная политика» </w:t>
            </w:r>
          </w:p>
          <w:p w:rsidR="007371B5" w:rsidRPr="007371B5" w:rsidRDefault="007371B5" w:rsidP="00737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подразделу «Пенсионное обеспечение» предусмотрены расходы на реализацию решения Корниловского сельского Совета депутатов от 30.06.2011 № 17 «О положении о порядке назначения, индексации и выплаты пенсии за выслугу лет лицам, замещавшим должности муниципальной слу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Корниловского сельсовета, доплаты к пенсии лицам, замещавшим выбо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муниципальные должности муниципального образования </w:t>
            </w:r>
            <w:proofErr w:type="spellStart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Каменского района Алтайского края» (с изм.  редакции от 10.12.2014 № 37, от 13.10.2016 № 17, от 26.10.2017 № 18; от 24.12.2018 № 25, от 11.10.2019 № 16) в сумме 48 тыс. рублей на 2023 год. На плановый период 2024-2025 года в сумме 48 тыс. рублей соответственно. </w:t>
            </w:r>
          </w:p>
        </w:tc>
      </w:tr>
      <w:tr w:rsidR="007371B5" w:rsidRPr="007371B5" w:rsidTr="006E51D4">
        <w:trPr>
          <w:trHeight w:val="439"/>
        </w:trPr>
        <w:tc>
          <w:tcPr>
            <w:tcW w:w="9639" w:type="dxa"/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«Физическая культура и спорт»</w:t>
            </w:r>
          </w:p>
        </w:tc>
      </w:tr>
      <w:tr w:rsidR="007371B5" w:rsidRPr="007371B5" w:rsidTr="006E51D4">
        <w:trPr>
          <w:trHeight w:val="330"/>
        </w:trPr>
        <w:tc>
          <w:tcPr>
            <w:tcW w:w="9639" w:type="dxa"/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По подразделу «Физическая культура» Расходные обязательства в сф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физической культуры и спорта -решение сельского Совета депутатов от 20.03.2014 № 8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  <w:r w:rsidRPr="00737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Pr="00737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Каменск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Алтайского края» расходы предусмотрены на 2023 год в размере 15,0 тыс. рублей. На плановый период 2024-2025 года в размере 0,5 тыс. ру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соответственно.</w:t>
            </w:r>
          </w:p>
        </w:tc>
      </w:tr>
    </w:tbl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371B5" w:rsidRPr="007371B5" w:rsidRDefault="007371B5" w:rsidP="007371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пояснительной записке к решению             </w:t>
      </w:r>
    </w:p>
    <w:p w:rsidR="007371B5" w:rsidRPr="007371B5" w:rsidRDefault="007371B5" w:rsidP="007371B5">
      <w:pPr>
        <w:spacing w:after="0" w:line="240" w:lineRule="auto"/>
        <w:ind w:left="4111"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Совета депутатов «О бюджете Корниловского сельсовета на 2023 год и на плановый период 2024 и 2025 годов» от 26.12.2022 № 26</w:t>
      </w:r>
    </w:p>
    <w:p w:rsidR="007371B5" w:rsidRPr="007371B5" w:rsidRDefault="007371B5" w:rsidP="00737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</w:t>
      </w:r>
    </w:p>
    <w:p w:rsidR="007371B5" w:rsidRPr="007371B5" w:rsidRDefault="007371B5" w:rsidP="00737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  Корниловского сельсовета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7371B5" w:rsidRPr="007371B5" w:rsidRDefault="007371B5" w:rsidP="00737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7371B5" w:rsidRPr="007371B5" w:rsidTr="006E51D4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371B5" w:rsidRPr="007371B5" w:rsidTr="006E51D4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7371B5" w:rsidRPr="007371B5" w:rsidTr="006E51D4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1955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1849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налоговый агент, за исключ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доходов, в отношении которых исчисление и уплата налога осущ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ствляются в соответствии со стат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227, 227.1 и 228 Налогового к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1B5" w:rsidRPr="007371B5" w:rsidTr="006E51D4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няемым к объектам налогооблож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B5" w:rsidRPr="007371B5" w:rsidRDefault="007371B5" w:rsidP="007371B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1131</w:t>
            </w: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B5" w:rsidRPr="007371B5" w:rsidRDefault="007371B5" w:rsidP="007371B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1B5" w:rsidRPr="007371B5" w:rsidTr="006E51D4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ладающих земельным участком, расположенным в границах сел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</w:t>
            </w:r>
          </w:p>
        </w:tc>
      </w:tr>
      <w:tr w:rsidR="007371B5" w:rsidRPr="007371B5" w:rsidTr="006E51D4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1B5" w:rsidRPr="007371B5" w:rsidRDefault="007371B5" w:rsidP="007371B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799</w:t>
            </w:r>
          </w:p>
        </w:tc>
      </w:tr>
      <w:tr w:rsidR="007371B5" w:rsidRPr="007371B5" w:rsidTr="006E51D4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7371B5" w:rsidRPr="007371B5" w:rsidTr="006E51D4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ства, находящегося в государс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венной и муниципальной собс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7371B5" w:rsidRPr="007371B5" w:rsidTr="006E51D4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Доходы, получаемые в виде арен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ной платы, а также средства от пр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дажи права на заключение догов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ров аренды за земли, находящиеся в собственности сельских поселений (за исключением земельных учас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ков муниципальных бюджетных и автономных учреждений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371B5" w:rsidRPr="007371B5" w:rsidTr="006E51D4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 от сдачи в аренду имущес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371B5" w:rsidRPr="007371B5" w:rsidTr="006E51D4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 от оказания платных услуг (работ) и компенсация затрат гос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дарства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371B5" w:rsidRPr="007371B5" w:rsidTr="006E51D4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371B5" w:rsidRPr="007371B5" w:rsidTr="006E51D4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1794,8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525,3</w:t>
            </w:r>
          </w:p>
        </w:tc>
      </w:tr>
      <w:tr w:rsidR="007371B5" w:rsidRPr="007371B5" w:rsidTr="006E51D4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303 2 02 16001 10 0000 150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на выравнивание бюджетной обеспеченности из бюджетов мун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</w:tr>
      <w:tr w:rsidR="007371B5" w:rsidRPr="007371B5" w:rsidTr="006E51D4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B5" w:rsidRPr="007371B5" w:rsidRDefault="007371B5" w:rsidP="007371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Иные межбюджетные трансферты, передаваемые бюджетам 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7371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209,0</w:t>
            </w:r>
          </w:p>
        </w:tc>
      </w:tr>
      <w:tr w:rsidR="007371B5" w:rsidRPr="007371B5" w:rsidTr="006E51D4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даваемые бюджетам сельских пос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7371B5" w:rsidRPr="007371B5" w:rsidTr="006E51D4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3685,8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B5" w:rsidRPr="007371B5" w:rsidRDefault="007371B5" w:rsidP="0073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2480,3</w:t>
            </w:r>
          </w:p>
        </w:tc>
      </w:tr>
    </w:tbl>
    <w:p w:rsidR="007371B5" w:rsidRPr="007371B5" w:rsidRDefault="007371B5" w:rsidP="007371B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3717"/>
        <w:gridCol w:w="1276"/>
        <w:gridCol w:w="1307"/>
        <w:gridCol w:w="900"/>
      </w:tblGrid>
      <w:tr w:rsidR="007371B5" w:rsidRPr="007371B5" w:rsidTr="006E51D4">
        <w:trPr>
          <w:trHeight w:val="444"/>
        </w:trPr>
        <w:tc>
          <w:tcPr>
            <w:tcW w:w="9750" w:type="dxa"/>
            <w:gridSpan w:val="5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ОЖИДАЕМАЯ ОЦЕНКА </w:t>
            </w:r>
          </w:p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исполнения бюджета Корниловского сельсовета за 2022 год </w:t>
            </w:r>
          </w:p>
        </w:tc>
      </w:tr>
      <w:tr w:rsidR="007371B5" w:rsidRPr="007371B5" w:rsidTr="006E51D4">
        <w:trPr>
          <w:trHeight w:val="206"/>
        </w:trPr>
        <w:tc>
          <w:tcPr>
            <w:tcW w:w="9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тыс.руб.</w:t>
            </w:r>
          </w:p>
        </w:tc>
      </w:tr>
      <w:tr w:rsidR="007371B5" w:rsidRPr="007371B5" w:rsidTr="006E51D4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бюджета на 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 оценка за 2022год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 испо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</w:tr>
      <w:tr w:rsidR="007371B5" w:rsidRPr="007371B5" w:rsidTr="006E51D4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1473,0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щества, находящегося в госуда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ственной и муниципальной со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платы, а также средства от продажи права на заключение д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говоров аренды за земли, наход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щиеся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луг (работ) и компенсации з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2 00 00000 00 0000 150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 ИЗ РАЙО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выравнивание бюдже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7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передаваемые бюджетам сел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33"/>
        <w:gridCol w:w="567"/>
        <w:gridCol w:w="567"/>
        <w:gridCol w:w="1276"/>
        <w:gridCol w:w="1307"/>
        <w:gridCol w:w="900"/>
      </w:tblGrid>
      <w:tr w:rsidR="007371B5" w:rsidRPr="007371B5" w:rsidTr="006E51D4">
        <w:trPr>
          <w:trHeight w:val="69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бюджета на 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 оценка за 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 испо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вительных) органов государственной власти и представительных органов муниципальных о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4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природного и техногенного хара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1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3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5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30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кинематография, средства масс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0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371B5" w:rsidRPr="007371B5" w:rsidTr="006E51D4">
        <w:trPr>
          <w:trHeight w:val="27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-; Профицит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371B5" w:rsidRPr="007371B5" w:rsidRDefault="007371B5" w:rsidP="00737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B5" w:rsidRPr="007371B5" w:rsidRDefault="007371B5" w:rsidP="007371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62A2" w:rsidRDefault="00EF62A2" w:rsidP="007371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Корниловского сельсовета </w:t>
      </w:r>
      <w:r w:rsidRPr="007371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Каменского района Алтайского края 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на плановый период 202 и 2025 годов</w:t>
      </w:r>
    </w:p>
    <w:p w:rsidR="007371B5" w:rsidRPr="007371B5" w:rsidRDefault="007371B5" w:rsidP="007371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Корниловского сельсовета Каменского района Алтайского края на 2023  год сформированы в соответствии с основными направлениями бюджетной и налоговой политики края на 2023 год и на плановый период 2024 и 2025 годов, с учетом положений Послания Президента Российской Федерации Федеральному Собранию Российской от</w:t>
      </w:r>
      <w:r w:rsidRPr="007371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7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21.04.2021,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21.07.2020 № 474 «О национальных целях развития Российской Федерации 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дах», определяющих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национальные цели развития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задачами бюджетной и налоговой политики определены: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продолжение взаимодействия органов местного самоуправления с гла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ными администраторами налоговых и неналоговых доходов бюджета в целях улучшения качества администрирования доходов;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сохранение стабильности налоговой нагрузки и полноты выявления пл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тельщиков;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безусловное исполнение принятых обязательств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работниками бю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сферы, населением села, в том числе в части индексации оплаты труда;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повышение качества взаимодействия между органами местного сам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управления Корниловского сельсовета Каменского района, как инструмента с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хранения устойчивости и сбалансированности местных бюджетов в условиях изменения бюджетного законодательства;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расширение применения инструмента казначейского сопровождения де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ствующих бюджетных обязательств;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совершенствование действующей практики реализации проектов по ра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витию общественной инфраструктуры, направленной на увеличение привл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ченных источников – средств местных бюджетов, бизнеса, населения;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соблюдение открытости и прозрачности бюджетного процесса, финанс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вой грамотности граждан, поддержки и развития общедоступных информац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</w:rPr>
        <w:t>онно-аналитических ресурсов.</w:t>
      </w:r>
    </w:p>
    <w:p w:rsidR="007371B5" w:rsidRPr="007371B5" w:rsidRDefault="007371B5" w:rsidP="007371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2A2" w:rsidRDefault="00EF62A2" w:rsidP="007371B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2A2" w:rsidRDefault="00EF62A2" w:rsidP="007371B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B5" w:rsidRPr="007371B5" w:rsidRDefault="007371B5" w:rsidP="007371B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бюджетной политики Корниловского сельс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вета Каменского района Алтайского края  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2023 год и </w:t>
      </w:r>
      <w:proofErr w:type="gramStart"/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риод 2024 и 2025 годов</w:t>
      </w:r>
    </w:p>
    <w:p w:rsidR="007371B5" w:rsidRPr="007371B5" w:rsidRDefault="007371B5" w:rsidP="0073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на плановый период 2024 и 2025 годов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обусловленных ограничений сохраняет ориентир, опр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деленный 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Корниловском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7371B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</w:t>
      </w:r>
    </w:p>
    <w:p w:rsidR="007371B5" w:rsidRPr="007371B5" w:rsidRDefault="007371B5" w:rsidP="0073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режима экономного расходования бюджетных средств, конце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ресурсов на приоритетных направлениях развития и выполнения пу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обязательств;</w:t>
      </w:r>
    </w:p>
    <w:p w:rsidR="007371B5" w:rsidRPr="007371B5" w:rsidRDefault="007371B5" w:rsidP="0073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повышение эффективности бюджетного планирования, использования бюджетных средств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финансового контроля.</w:t>
      </w:r>
    </w:p>
    <w:p w:rsidR="007371B5" w:rsidRPr="007371B5" w:rsidRDefault="007371B5" w:rsidP="007371B5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следующих мероприятий</w:t>
      </w:r>
      <w:r w:rsidRPr="007371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71B5" w:rsidRPr="007371B5" w:rsidRDefault="007371B5" w:rsidP="007371B5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B5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</w:t>
      </w:r>
      <w:r w:rsidRPr="007371B5">
        <w:rPr>
          <w:rFonts w:ascii="Times New Roman" w:eastAsia="Calibri" w:hAnsi="Times New Roman" w:cs="Times New Roman"/>
          <w:bCs/>
          <w:sz w:val="28"/>
          <w:szCs w:val="28"/>
        </w:rPr>
        <w:t>оказания муниципальных услуг</w:t>
      </w:r>
      <w:r w:rsidRPr="007371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71B5" w:rsidRPr="007371B5" w:rsidRDefault="007371B5" w:rsidP="007371B5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B5">
        <w:rPr>
          <w:rFonts w:ascii="Times New Roman" w:eastAsia="Calibri" w:hAnsi="Times New Roman" w:cs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7371B5" w:rsidRPr="007371B5" w:rsidRDefault="007371B5" w:rsidP="007371B5">
      <w:pPr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B5">
        <w:rPr>
          <w:rFonts w:ascii="Times New Roman" w:eastAsia="Calibri" w:hAnsi="Times New Roman" w:cs="Times New Roman"/>
          <w:sz w:val="28"/>
          <w:szCs w:val="28"/>
        </w:rPr>
        <w:t>своевременное и полное исполнение принимаемых расходных обяз</w:t>
      </w:r>
      <w:r w:rsidRPr="007371B5">
        <w:rPr>
          <w:rFonts w:ascii="Times New Roman" w:eastAsia="Calibri" w:hAnsi="Times New Roman" w:cs="Times New Roman"/>
          <w:sz w:val="28"/>
          <w:szCs w:val="28"/>
        </w:rPr>
        <w:t>а</w:t>
      </w:r>
      <w:r w:rsidRPr="007371B5">
        <w:rPr>
          <w:rFonts w:ascii="Times New Roman" w:eastAsia="Calibri" w:hAnsi="Times New Roman" w:cs="Times New Roman"/>
          <w:sz w:val="28"/>
          <w:szCs w:val="28"/>
        </w:rPr>
        <w:t>тельств, в первую очередь по социально-значимым направлениям.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бюджетной сбалансированности является привед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бюджетных расходов в соответствие с реально прогнозируемым поступл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доходов, усиление экономии бюджетных ресурсов, повышение эффекти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социальных расходов.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от 28.12.2017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421-ФЗ «О внесении изменений в отдельные законодательные акты Росси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части повышения минимального размера оплаты труда до прожиточного минимума трудоспособного населения» минимальный размер оплаты труда с 01.01.2023 составит 16242 рублей.</w:t>
      </w:r>
    </w:p>
    <w:p w:rsidR="007371B5" w:rsidRPr="007371B5" w:rsidRDefault="007371B5" w:rsidP="00737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достижения национальных целей развития, определенных в документах стратегического планирования, сохраняет актуальность разрабо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реализации мер эффективного использования бюджетных средств. Ва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аспектом при исполнении бюджета является обеспечение ритмичного ф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нансирования расходных обязательств и своевременное освоение средств. 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расходов бюджета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на плановый период 2024 и 2025 годов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7371B5" w:rsidRPr="007371B5" w:rsidRDefault="007371B5" w:rsidP="00737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решения задачи 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эффективности оказания муниц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услуг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продолжится работа по созданию стимулов для более раци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экономного использования бюджетных средств.</w:t>
      </w:r>
    </w:p>
    <w:p w:rsidR="007371B5" w:rsidRPr="007371B5" w:rsidRDefault="007371B5" w:rsidP="00737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в части инвентаризации установленных расходных полн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органов местного самоуправления Корниловского сельсовета Каменск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Алтайского края направлены на недопущение принятия новых ра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обязательств, не связанных с решением вопросов, отнесенных Конст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туцией Российской Федерации и федеральными законами к полномочиям орг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местного самоуправления Алтайского края. 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 w:rsidRPr="007371B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 информации о местном бюджете в объективной и до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тупной для понимания форме на официальном сайте органов Администрации Каменского района.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7371B5" w:rsidRPr="007371B5" w:rsidRDefault="007371B5" w:rsidP="0073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220.2</w:t>
      </w:r>
      <w:r w:rsidRPr="007371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(местных администраций), органов управления государственными вн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фондами о передаче (прекращении осуществления) отдельных функций финансовых органов субъектов Российской Федерации (муниципал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образований), органов управления государственными внебюджетными фондами в федеральное казначейство и их рассмотрения федеральным казн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чейством» с 01.01.2023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7371B5" w:rsidRPr="007371B5" w:rsidRDefault="007371B5" w:rsidP="00737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следующие функции, связанные:</w:t>
      </w:r>
    </w:p>
    <w:p w:rsidR="007371B5" w:rsidRPr="007371B5" w:rsidRDefault="007371B5" w:rsidP="00737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7371B5" w:rsidRPr="007371B5" w:rsidRDefault="007371B5" w:rsidP="00737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7371B5" w:rsidRPr="007371B5" w:rsidRDefault="007371B5" w:rsidP="00737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бюджетных и денежных обязательств получателей средств бюджета поселения;</w:t>
      </w:r>
    </w:p>
    <w:p w:rsidR="007371B5" w:rsidRPr="007371B5" w:rsidRDefault="007371B5" w:rsidP="00737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санкционированием операций, связанных с оплатой денежных обязательств получателей средств бюджета поселения;</w:t>
      </w:r>
    </w:p>
    <w:p w:rsidR="007371B5" w:rsidRPr="007371B5" w:rsidRDefault="007371B5" w:rsidP="00737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1B5" w:rsidRPr="007371B5" w:rsidRDefault="007371B5" w:rsidP="007371B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налоговой политики Корниловского сельс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вета Каменского района Алтайского края 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2023 и 2024 годов</w:t>
      </w:r>
    </w:p>
    <w:p w:rsidR="007371B5" w:rsidRPr="007371B5" w:rsidRDefault="007371B5" w:rsidP="00737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налоговой политики на 2023 и на плановый пер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2024 и 2025 годов ориентированы на поддержку, повышение конкурент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приоритетных отраслей экономики, на создание условий для во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деловой активности в условиях санкционных ограничений.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остается улучшение администрирования доходов, внедрение новых информационных технологий, что позволит пов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 в условиях санкционного давления.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 2022 года и в 2023-2025 годах.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1B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налогу на доходы физических лиц: 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на получение стандартного налогового вычета, 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обеспечении налогоплательщика находятся дети или подопечные, пр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знанные недееспособными;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можно получить у работодателя (в течение календарного года), начиная с 2023 года в налоговом органе (за фактически произведенные расходы с 1 янв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2022 года);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распространение освобождения от налогообложения в установленных пределах на любые компенсационные выплаты при увольнении, предусмотре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законодательством.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имущественным налогам: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особенности исчисления налога на имущество физических лиц и земельного налога на 2023 год. Если кадастровая стоимость объекта 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№ 269-ФЗ «О вн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Алтайкрайимущества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24.10.2022 N 165 "Об утверждении результатов определения кадастровой сто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земельных участков, учтенных в Едином государственном реестре 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территории Алтайского края".</w:t>
      </w:r>
      <w:r w:rsidRPr="007371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соответствии с требованиями законодательства будет пр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ограничений по периодичности проведения государственной кадастровой оценки. Результ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оценки по данным объектам при исчислении налога на имущество физич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будут применятся с 01.01.2024 года. Соответственно, физическим 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налоговый орган исчислит платежи в 2025 году (за 2024 год).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оценки налоговых расходов муниципального образ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осуществляется мониторинг нормативно-правовых актов в части предо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 отсутствуют.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внедрение института единого налогового счета, пред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сматривающего консолидацию всех обязанностей плательщика по уплате об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платежей, регулируемых Налоговым кодексом Российской Федер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уплаты по общему правилу - 28-е число соответствующего месяца (для всех юридических лиц, в том числе для бюджетных и автономных учре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дений). Общим сроком представления налоговой отчетности с 2023 года будет являться 25-е число соответствующего месяца.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представлением налоговых деклараций и расчетов с 2023 года закрепляется обязанность налогоплательщиков по сдаче в налоговую инспе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уведомлений об исчисленных суммах налогов, авансовых платежей по н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логам, страховых взносов. Уведомление представляется по месту учета не позднее 25-го числа месяца, в котором установлен срок уплаты соответству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налога.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правила работы с недоимкой. По новым правилам, решения о взыскании отрицательного сальдо единого налогового счета инспекции будут размещать в специальном реестре.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ветствующие налоги;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пеней и процентов, предусмотренных законодательством о нал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и сборах, будут определяться суммарно по налогоплательщику (без выдел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отдельных видов налогов).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зачисления пеней в консолидированный бюджет субъекта – 43% с последующим распределением между бюджетами субъектов по норм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тивам, установленным федеральным законом о федеральном бюджете.</w:t>
      </w:r>
    </w:p>
    <w:p w:rsidR="007371B5" w:rsidRPr="007371B5" w:rsidRDefault="007371B5" w:rsidP="00737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процентов будут зачисляться 100% в федеральный бюджет.</w:t>
      </w:r>
    </w:p>
    <w:p w:rsidR="007371B5" w:rsidRPr="007371B5" w:rsidRDefault="007371B5" w:rsidP="007371B5">
      <w:pPr>
        <w:keepNext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D4" w:rsidRDefault="00563CD4"/>
    <w:sectPr w:rsidR="00563CD4" w:rsidSect="00B42758">
      <w:headerReference w:type="even" r:id="rId11"/>
      <w:headerReference w:type="default" r:id="rId12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02" w:rsidRDefault="00C30302" w:rsidP="00B55DF6">
      <w:pPr>
        <w:spacing w:after="0" w:line="240" w:lineRule="auto"/>
      </w:pPr>
      <w:r>
        <w:separator/>
      </w:r>
    </w:p>
  </w:endnote>
  <w:endnote w:type="continuationSeparator" w:id="0">
    <w:p w:rsidR="00C30302" w:rsidRDefault="00C30302" w:rsidP="00B5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02" w:rsidRDefault="00C30302" w:rsidP="00B55DF6">
      <w:pPr>
        <w:spacing w:after="0" w:line="240" w:lineRule="auto"/>
      </w:pPr>
      <w:r>
        <w:separator/>
      </w:r>
    </w:p>
  </w:footnote>
  <w:footnote w:type="continuationSeparator" w:id="0">
    <w:p w:rsidR="00C30302" w:rsidRDefault="00C30302" w:rsidP="00B5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D4" w:rsidRDefault="006E51D4" w:rsidP="006E5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1D4" w:rsidRDefault="006E5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D4" w:rsidRDefault="006E51D4" w:rsidP="006E5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AA4">
      <w:rPr>
        <w:rStyle w:val="a5"/>
        <w:noProof/>
      </w:rPr>
      <w:t>40</w:t>
    </w:r>
    <w:r>
      <w:rPr>
        <w:rStyle w:val="a5"/>
      </w:rPr>
      <w:fldChar w:fldCharType="end"/>
    </w:r>
  </w:p>
  <w:p w:rsidR="006E51D4" w:rsidRDefault="006E51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E7"/>
    <w:rsid w:val="00240CAD"/>
    <w:rsid w:val="00296AA4"/>
    <w:rsid w:val="00563CD4"/>
    <w:rsid w:val="005F744A"/>
    <w:rsid w:val="006E51D4"/>
    <w:rsid w:val="007371B5"/>
    <w:rsid w:val="00B42758"/>
    <w:rsid w:val="00B55DF6"/>
    <w:rsid w:val="00C30302"/>
    <w:rsid w:val="00EF62A2"/>
    <w:rsid w:val="00F6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F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371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7371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  <w:b/>
      <w:bCs/>
      <w:lang/>
    </w:rPr>
  </w:style>
  <w:style w:type="paragraph" w:styleId="4">
    <w:name w:val="heading 4"/>
    <w:basedOn w:val="a"/>
    <w:next w:val="a"/>
    <w:link w:val="40"/>
    <w:qFormat/>
    <w:rsid w:val="007371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/>
    </w:rPr>
  </w:style>
  <w:style w:type="paragraph" w:styleId="5">
    <w:name w:val="heading 5"/>
    <w:basedOn w:val="a"/>
    <w:next w:val="a"/>
    <w:link w:val="50"/>
    <w:qFormat/>
    <w:rsid w:val="007371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7371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7371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7371B5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aliases w:val="H2 Знак1,&quot;Изумруд&quot; Знак"/>
    <w:basedOn w:val="a0"/>
    <w:link w:val="2"/>
    <w:rsid w:val="007371B5"/>
    <w:rPr>
      <w:rFonts w:ascii="Arial" w:eastAsia="Times New Roman" w:hAnsi="Arial" w:cs="Times New Roman"/>
      <w:b/>
      <w:bCs/>
      <w:lang/>
    </w:rPr>
  </w:style>
  <w:style w:type="character" w:customStyle="1" w:styleId="40">
    <w:name w:val="Заголовок 4 Знак"/>
    <w:basedOn w:val="a0"/>
    <w:link w:val="4"/>
    <w:rsid w:val="007371B5"/>
    <w:rPr>
      <w:rFonts w:ascii="Times New Roman" w:eastAsia="Times New Roman" w:hAnsi="Times New Roman" w:cs="Times New Roman"/>
      <w:b/>
      <w:bCs/>
      <w:sz w:val="24"/>
      <w:lang/>
    </w:rPr>
  </w:style>
  <w:style w:type="character" w:customStyle="1" w:styleId="50">
    <w:name w:val="Заголовок 5 Знак"/>
    <w:basedOn w:val="a0"/>
    <w:link w:val="5"/>
    <w:rsid w:val="007371B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371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371B5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371B5"/>
  </w:style>
  <w:style w:type="paragraph" w:styleId="a3">
    <w:name w:val="header"/>
    <w:basedOn w:val="a"/>
    <w:link w:val="a4"/>
    <w:rsid w:val="00737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7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71B5"/>
  </w:style>
  <w:style w:type="paragraph" w:styleId="a6">
    <w:name w:val="Balloon Text"/>
    <w:basedOn w:val="a"/>
    <w:link w:val="a7"/>
    <w:rsid w:val="007371B5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7371B5"/>
    <w:rPr>
      <w:rFonts w:ascii="Tahoma" w:eastAsia="Times New Roman" w:hAnsi="Tahoma" w:cs="Times New Roman"/>
      <w:sz w:val="16"/>
      <w:szCs w:val="16"/>
      <w:lang/>
    </w:rPr>
  </w:style>
  <w:style w:type="table" w:styleId="a8">
    <w:name w:val="Table Grid"/>
    <w:basedOn w:val="a1"/>
    <w:rsid w:val="0073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371B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a">
    <w:name w:val="Текст Знак"/>
    <w:basedOn w:val="a0"/>
    <w:link w:val="a9"/>
    <w:rsid w:val="007371B5"/>
    <w:rPr>
      <w:rFonts w:ascii="Courier New" w:eastAsia="Times New Roman" w:hAnsi="Courier New" w:cs="Times New Roman"/>
      <w:sz w:val="20"/>
      <w:szCs w:val="20"/>
      <w:lang/>
    </w:rPr>
  </w:style>
  <w:style w:type="paragraph" w:styleId="ab">
    <w:name w:val="Body Text Indent"/>
    <w:basedOn w:val="a"/>
    <w:link w:val="ac"/>
    <w:rsid w:val="007371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rsid w:val="007371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basedOn w:val="a"/>
    <w:uiPriority w:val="99"/>
    <w:rsid w:val="0073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71B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7371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0">
    <w:name w:val="ConsNormal"/>
    <w:rsid w:val="007371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rsid w:val="00737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rsid w:val="007371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371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371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f">
    <w:name w:val="Body Text"/>
    <w:basedOn w:val="a"/>
    <w:link w:val="af0"/>
    <w:rsid w:val="007371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7371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7371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7371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Normal (Web)"/>
    <w:basedOn w:val="a"/>
    <w:rsid w:val="007371B5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7371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rsid w:val="007371B5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737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7371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rsid w:val="007371B5"/>
    <w:rPr>
      <w:b/>
      <w:bCs/>
    </w:rPr>
  </w:style>
  <w:style w:type="character" w:customStyle="1" w:styleId="af6">
    <w:name w:val="Тема примечания Знак"/>
    <w:basedOn w:val="af4"/>
    <w:link w:val="af5"/>
    <w:rsid w:val="007371B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messagein1">
    <w:name w:val="messagein1"/>
    <w:rsid w:val="007371B5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7371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9">
    <w:name w:val="Название Знак"/>
    <w:link w:val="af7"/>
    <w:rsid w:val="007371B5"/>
    <w:rPr>
      <w:b/>
      <w:sz w:val="28"/>
      <w:lang/>
    </w:rPr>
  </w:style>
  <w:style w:type="paragraph" w:styleId="23">
    <w:name w:val="Body Text Indent 2"/>
    <w:basedOn w:val="a"/>
    <w:link w:val="24"/>
    <w:rsid w:val="007371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4">
    <w:name w:val="Основной текст с отступом 2 Знак"/>
    <w:basedOn w:val="a0"/>
    <w:link w:val="23"/>
    <w:rsid w:val="007371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">
    <w:name w:val="Знак Знак9"/>
    <w:rsid w:val="007371B5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7371B5"/>
    <w:rPr>
      <w:sz w:val="24"/>
    </w:rPr>
  </w:style>
  <w:style w:type="character" w:customStyle="1" w:styleId="H2">
    <w:name w:val="H2 Знак"/>
    <w:aliases w:val="&quot;Изумруд&quot; Знак Знак"/>
    <w:rsid w:val="007371B5"/>
    <w:rPr>
      <w:b/>
      <w:sz w:val="44"/>
    </w:rPr>
  </w:style>
  <w:style w:type="paragraph" w:styleId="afb">
    <w:name w:val="List"/>
    <w:basedOn w:val="af"/>
    <w:unhideWhenUsed/>
    <w:rsid w:val="007371B5"/>
    <w:pPr>
      <w:suppressAutoHyphens/>
    </w:pPr>
    <w:rPr>
      <w:rFonts w:cs="Tahoma"/>
      <w:lang w:eastAsia="ar-SA"/>
    </w:rPr>
  </w:style>
  <w:style w:type="paragraph" w:styleId="af8">
    <w:name w:val="Title"/>
    <w:basedOn w:val="a"/>
    <w:next w:val="af"/>
    <w:link w:val="12"/>
    <w:rsid w:val="007371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12">
    <w:name w:val="Название Знак1"/>
    <w:basedOn w:val="a0"/>
    <w:link w:val="af8"/>
    <w:rsid w:val="007371B5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3">
    <w:name w:val="Название1"/>
    <w:basedOn w:val="a"/>
    <w:rsid w:val="007371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7371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7371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5">
    <w:name w:val="Текст1"/>
    <w:basedOn w:val="a"/>
    <w:rsid w:val="007371B5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7371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c">
    <w:name w:val="Содержимое таблицы"/>
    <w:basedOn w:val="a"/>
    <w:rsid w:val="007371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7371B5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7371B5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7371B5"/>
  </w:style>
  <w:style w:type="character" w:customStyle="1" w:styleId="WW-Absatz-Standardschriftart">
    <w:name w:val="WW-Absatz-Standardschriftart"/>
    <w:rsid w:val="007371B5"/>
  </w:style>
  <w:style w:type="character" w:customStyle="1" w:styleId="WW-Absatz-Standardschriftart1">
    <w:name w:val="WW-Absatz-Standardschriftart1"/>
    <w:rsid w:val="007371B5"/>
  </w:style>
  <w:style w:type="character" w:customStyle="1" w:styleId="17">
    <w:name w:val="Основной шрифт абзаца1"/>
    <w:rsid w:val="007371B5"/>
  </w:style>
  <w:style w:type="character" w:customStyle="1" w:styleId="aff">
    <w:name w:val="Знак Знак"/>
    <w:rsid w:val="007371B5"/>
    <w:rPr>
      <w:b/>
      <w:bCs/>
      <w:i/>
      <w:iCs/>
      <w:sz w:val="26"/>
      <w:szCs w:val="26"/>
      <w:lang w:val="en-US" w:eastAsia="ar-SA" w:bidi="ar-SA"/>
    </w:rPr>
  </w:style>
  <w:style w:type="character" w:customStyle="1" w:styleId="18">
    <w:name w:val="Знак примечания1"/>
    <w:rsid w:val="007371B5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7371B5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7371B5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7371B5"/>
  </w:style>
  <w:style w:type="paragraph" w:styleId="aff0">
    <w:name w:val="List Paragraph"/>
    <w:basedOn w:val="a"/>
    <w:uiPriority w:val="34"/>
    <w:qFormat/>
    <w:rsid w:val="007371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7371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7371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unhideWhenUsed/>
    <w:rsid w:val="007371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7371B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9">
    <w:name w:val="Абзац списка1"/>
    <w:basedOn w:val="a"/>
    <w:rsid w:val="007371B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1">
    <w:name w:val="Hyperlink"/>
    <w:uiPriority w:val="99"/>
    <w:unhideWhenUsed/>
    <w:rsid w:val="007371B5"/>
    <w:rPr>
      <w:color w:val="0563C1"/>
      <w:u w:val="single"/>
    </w:rPr>
  </w:style>
  <w:style w:type="character" w:styleId="aff2">
    <w:name w:val="FollowedHyperlink"/>
    <w:uiPriority w:val="99"/>
    <w:unhideWhenUsed/>
    <w:rsid w:val="007371B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44</Pages>
  <Words>12250</Words>
  <Characters>69831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Uz</cp:lastModifiedBy>
  <cp:revision>7</cp:revision>
  <cp:lastPrinted>2023-01-09T02:52:00Z</cp:lastPrinted>
  <dcterms:created xsi:type="dcterms:W3CDTF">2022-12-28T13:56:00Z</dcterms:created>
  <dcterms:modified xsi:type="dcterms:W3CDTF">2023-01-09T03:02:00Z</dcterms:modified>
</cp:coreProperties>
</file>